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CDDE6" w14:textId="52996195" w:rsidR="001C1EB2" w:rsidRPr="001C1EB2" w:rsidRDefault="001C1EB2" w:rsidP="001C1EB2">
      <w:pPr>
        <w:rPr>
          <w:b/>
          <w:bCs/>
          <w:i/>
          <w:iCs/>
          <w:sz w:val="28"/>
          <w:szCs w:val="24"/>
          <w:lang w:val="id-ID"/>
        </w:rPr>
      </w:pPr>
      <w:r w:rsidRPr="001C1EB2">
        <w:rPr>
          <w:b/>
          <w:bCs/>
          <w:sz w:val="28"/>
          <w:szCs w:val="24"/>
          <w:lang w:val="id-ID"/>
        </w:rPr>
        <w:t xml:space="preserve">Intertextuality of Suicide Phenomena and the Myth of Pulung Gantung in Gunungkidul, Yogyakarta, in the Short Film </w:t>
      </w:r>
      <w:r w:rsidRPr="001C1EB2">
        <w:rPr>
          <w:b/>
          <w:bCs/>
          <w:i/>
          <w:iCs/>
          <w:sz w:val="28"/>
          <w:szCs w:val="24"/>
          <w:lang w:val="id-ID"/>
        </w:rPr>
        <w:t>Lamun Sumelang</w:t>
      </w:r>
    </w:p>
    <w:p w14:paraId="2BEF9B89" w14:textId="77777777" w:rsidR="004C0ACE" w:rsidRPr="001C1EB2" w:rsidRDefault="004C0ACE">
      <w:pPr>
        <w:jc w:val="center"/>
        <w:rPr>
          <w:b/>
          <w:i/>
          <w:iCs/>
        </w:rPr>
      </w:pPr>
    </w:p>
    <w:p w14:paraId="222EA705" w14:textId="55EDFFCD" w:rsidR="004C0ACE" w:rsidRPr="00F730A5" w:rsidRDefault="003567AA">
      <w:pPr>
        <w:rPr>
          <w:b/>
          <w:vertAlign w:val="superscript"/>
        </w:rPr>
      </w:pPr>
      <w:r w:rsidRPr="00F730A5">
        <w:rPr>
          <w:b/>
        </w:rPr>
        <w:t>Deby Christi</w:t>
      </w:r>
    </w:p>
    <w:p w14:paraId="5DC943DF" w14:textId="61F1EADD" w:rsidR="00B61E89" w:rsidRDefault="007B19C9" w:rsidP="007B19C9">
      <w:pPr>
        <w:rPr>
          <w:sz w:val="18"/>
          <w:szCs w:val="18"/>
        </w:rPr>
      </w:pPr>
      <w:r w:rsidRPr="007B19C9">
        <w:rPr>
          <w:sz w:val="18"/>
          <w:szCs w:val="18"/>
        </w:rPr>
        <w:t>Petra Christian University, Surabaya, Indonesia</w:t>
      </w:r>
    </w:p>
    <w:p w14:paraId="357C74C5" w14:textId="2F88BB99" w:rsidR="004C0ACE" w:rsidRPr="007B19C9" w:rsidRDefault="0082426A" w:rsidP="007B19C9">
      <w:pPr>
        <w:rPr>
          <w:sz w:val="18"/>
          <w:szCs w:val="18"/>
        </w:rPr>
      </w:pPr>
      <w:hyperlink r:id="rId9" w:history="1">
        <w:r w:rsidR="00B61E89" w:rsidRPr="00C83C3A">
          <w:rPr>
            <w:rStyle w:val="Hyperlink"/>
            <w:sz w:val="18"/>
            <w:szCs w:val="18"/>
          </w:rPr>
          <w:t>deby.christi@gmail.com</w:t>
        </w:r>
      </w:hyperlink>
      <w:r w:rsidR="003567AA" w:rsidRPr="007B19C9">
        <w:rPr>
          <w:sz w:val="18"/>
          <w:szCs w:val="18"/>
        </w:rPr>
        <w:t xml:space="preserve"> </w:t>
      </w:r>
    </w:p>
    <w:p w14:paraId="2D74FB4B" w14:textId="77777777" w:rsidR="004C0ACE" w:rsidRPr="007B19C9" w:rsidRDefault="004C0ACE">
      <w:pPr>
        <w:rPr>
          <w:sz w:val="18"/>
          <w:szCs w:val="18"/>
        </w:rPr>
      </w:pPr>
    </w:p>
    <w:p w14:paraId="590F466B" w14:textId="77777777" w:rsidR="004C0ACE" w:rsidRPr="00F730A5" w:rsidRDefault="004C0ACE">
      <w:pPr>
        <w:jc w:val="center"/>
      </w:pPr>
    </w:p>
    <w:tbl>
      <w:tblPr>
        <w:tblStyle w:val="a1"/>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283"/>
        <w:gridCol w:w="5353"/>
      </w:tblGrid>
      <w:tr w:rsidR="004C0ACE" w:rsidRPr="00F730A5" w14:paraId="0D3AB15F" w14:textId="77777777">
        <w:tc>
          <w:tcPr>
            <w:tcW w:w="3261" w:type="dxa"/>
            <w:tcBorders>
              <w:top w:val="single" w:sz="4" w:space="0" w:color="000000"/>
              <w:left w:val="nil"/>
              <w:right w:val="nil"/>
            </w:tcBorders>
          </w:tcPr>
          <w:p w14:paraId="3A0D4B9E" w14:textId="77777777" w:rsidR="004C0ACE" w:rsidRPr="00F730A5" w:rsidRDefault="003F6233">
            <w:pPr>
              <w:spacing w:before="120"/>
              <w:jc w:val="both"/>
              <w:rPr>
                <w:b/>
              </w:rPr>
            </w:pPr>
            <w:r w:rsidRPr="00F730A5">
              <w:rPr>
                <w:b/>
              </w:rPr>
              <w:t>Article Info</w:t>
            </w:r>
          </w:p>
        </w:tc>
        <w:tc>
          <w:tcPr>
            <w:tcW w:w="283" w:type="dxa"/>
            <w:tcBorders>
              <w:top w:val="single" w:sz="4" w:space="0" w:color="000000"/>
              <w:left w:val="nil"/>
              <w:bottom w:val="nil"/>
              <w:right w:val="nil"/>
            </w:tcBorders>
          </w:tcPr>
          <w:p w14:paraId="2B1AB096" w14:textId="77777777" w:rsidR="004C0ACE" w:rsidRPr="00F730A5" w:rsidRDefault="004C0ACE">
            <w:pPr>
              <w:spacing w:before="120"/>
              <w:jc w:val="center"/>
            </w:pPr>
          </w:p>
        </w:tc>
        <w:tc>
          <w:tcPr>
            <w:tcW w:w="5353" w:type="dxa"/>
            <w:tcBorders>
              <w:top w:val="single" w:sz="4" w:space="0" w:color="000000"/>
              <w:left w:val="nil"/>
              <w:right w:val="nil"/>
            </w:tcBorders>
          </w:tcPr>
          <w:p w14:paraId="39F52935" w14:textId="25596AAC" w:rsidR="004C0ACE" w:rsidRPr="00F730A5" w:rsidRDefault="003F6233">
            <w:pPr>
              <w:spacing w:before="120"/>
              <w:rPr>
                <w:color w:val="000000"/>
                <w:sz w:val="24"/>
                <w:szCs w:val="24"/>
              </w:rPr>
            </w:pPr>
            <w:r w:rsidRPr="00F730A5">
              <w:rPr>
                <w:b/>
                <w:color w:val="000000"/>
              </w:rPr>
              <w:t>ABSTRACT</w:t>
            </w:r>
          </w:p>
        </w:tc>
      </w:tr>
      <w:tr w:rsidR="004C0ACE" w:rsidRPr="00F730A5" w14:paraId="58F8046C" w14:textId="77777777">
        <w:trPr>
          <w:trHeight w:val="2787"/>
        </w:trPr>
        <w:tc>
          <w:tcPr>
            <w:tcW w:w="3261" w:type="dxa"/>
            <w:tcBorders>
              <w:left w:val="nil"/>
              <w:right w:val="nil"/>
            </w:tcBorders>
          </w:tcPr>
          <w:p w14:paraId="1FB33832" w14:textId="77777777" w:rsidR="004C0ACE" w:rsidRPr="00F730A5" w:rsidRDefault="003F6233">
            <w:pPr>
              <w:spacing w:before="120" w:after="120"/>
              <w:jc w:val="both"/>
              <w:rPr>
                <w:b/>
                <w:i/>
              </w:rPr>
            </w:pPr>
            <w:r w:rsidRPr="00F730A5">
              <w:rPr>
                <w:b/>
                <w:i/>
              </w:rPr>
              <w:t>Keywords:</w:t>
            </w:r>
          </w:p>
          <w:p w14:paraId="7F9F3F9E" w14:textId="77777777" w:rsidR="00DA25F5" w:rsidRDefault="00DA25F5" w:rsidP="00DA25F5">
            <w:pPr>
              <w:jc w:val="both"/>
            </w:pPr>
            <w:proofErr w:type="spellStart"/>
            <w:r>
              <w:t>Gunungkidul</w:t>
            </w:r>
            <w:proofErr w:type="spellEnd"/>
            <w:r>
              <w:t xml:space="preserve">; </w:t>
            </w:r>
          </w:p>
          <w:p w14:paraId="1B589732" w14:textId="77777777" w:rsidR="00DA25F5" w:rsidRDefault="00DA25F5" w:rsidP="00DA25F5">
            <w:pPr>
              <w:jc w:val="both"/>
            </w:pPr>
            <w:r>
              <w:t>Intertextuality;</w:t>
            </w:r>
          </w:p>
          <w:p w14:paraId="30AD2A50" w14:textId="77777777" w:rsidR="00DA25F5" w:rsidRDefault="00DA25F5" w:rsidP="00DA25F5">
            <w:pPr>
              <w:jc w:val="both"/>
            </w:pPr>
            <w:proofErr w:type="spellStart"/>
            <w:r>
              <w:rPr>
                <w:i/>
                <w:iCs/>
              </w:rPr>
              <w:t>Lamun</w:t>
            </w:r>
            <w:proofErr w:type="spellEnd"/>
            <w:r>
              <w:rPr>
                <w:i/>
                <w:iCs/>
              </w:rPr>
              <w:t xml:space="preserve"> </w:t>
            </w:r>
            <w:proofErr w:type="spellStart"/>
            <w:r>
              <w:rPr>
                <w:i/>
                <w:iCs/>
              </w:rPr>
              <w:t>Sumelang</w:t>
            </w:r>
            <w:proofErr w:type="spellEnd"/>
            <w:r>
              <w:t xml:space="preserve">; </w:t>
            </w:r>
          </w:p>
          <w:p w14:paraId="7E3D0E09" w14:textId="54921DD5" w:rsidR="00DA25F5" w:rsidRDefault="00D56EF1" w:rsidP="00DA25F5">
            <w:pPr>
              <w:jc w:val="both"/>
              <w:rPr>
                <w:i/>
                <w:iCs/>
              </w:rPr>
            </w:pPr>
            <w:r w:rsidRPr="00D56EF1">
              <w:rPr>
                <w:i/>
                <w:iCs/>
                <w:color w:val="000000"/>
              </w:rPr>
              <w:t>Mise-</w:t>
            </w:r>
            <w:proofErr w:type="spellStart"/>
            <w:r w:rsidRPr="00D56EF1">
              <w:rPr>
                <w:i/>
                <w:iCs/>
                <w:color w:val="000000"/>
              </w:rPr>
              <w:t>en</w:t>
            </w:r>
            <w:proofErr w:type="spellEnd"/>
            <w:r w:rsidRPr="00D56EF1">
              <w:rPr>
                <w:i/>
                <w:iCs/>
                <w:color w:val="000000"/>
              </w:rPr>
              <w:t>-</w:t>
            </w:r>
            <w:proofErr w:type="spellStart"/>
            <w:r w:rsidRPr="00D56EF1">
              <w:rPr>
                <w:i/>
                <w:iCs/>
                <w:color w:val="000000"/>
              </w:rPr>
              <w:t>scène</w:t>
            </w:r>
            <w:proofErr w:type="spellEnd"/>
            <w:r w:rsidR="00DA25F5">
              <w:rPr>
                <w:i/>
                <w:iCs/>
              </w:rPr>
              <w:t>;</w:t>
            </w:r>
          </w:p>
          <w:p w14:paraId="07505A59" w14:textId="77777777" w:rsidR="00DA25F5" w:rsidRDefault="00DA25F5" w:rsidP="00DA25F5">
            <w:pPr>
              <w:jc w:val="both"/>
            </w:pPr>
            <w:proofErr w:type="spellStart"/>
            <w:r>
              <w:t>Pulung</w:t>
            </w:r>
            <w:proofErr w:type="spellEnd"/>
            <w:r>
              <w:t xml:space="preserve"> </w:t>
            </w:r>
            <w:proofErr w:type="spellStart"/>
            <w:r>
              <w:t>Gantung</w:t>
            </w:r>
            <w:proofErr w:type="spellEnd"/>
            <w:r>
              <w:t>;</w:t>
            </w:r>
          </w:p>
          <w:p w14:paraId="7016659E" w14:textId="46A7D269" w:rsidR="003567AA" w:rsidRPr="00DA25F5" w:rsidRDefault="00DA25F5" w:rsidP="003567AA">
            <w:pPr>
              <w:jc w:val="both"/>
              <w:rPr>
                <w:i/>
                <w:iCs/>
              </w:rPr>
            </w:pPr>
            <w:r>
              <w:t>Suicide</w:t>
            </w:r>
            <w:r>
              <w:rPr>
                <w:i/>
                <w:iCs/>
              </w:rPr>
              <w:t>.</w:t>
            </w:r>
          </w:p>
          <w:p w14:paraId="4722CB8E" w14:textId="77777777" w:rsidR="003567AA" w:rsidRPr="00F730A5" w:rsidRDefault="003567AA" w:rsidP="003567AA">
            <w:pPr>
              <w:jc w:val="both"/>
            </w:pPr>
          </w:p>
          <w:p w14:paraId="4D1D0CA2" w14:textId="77777777" w:rsidR="004C0ACE" w:rsidRPr="00F730A5" w:rsidRDefault="004C0ACE">
            <w:pPr>
              <w:jc w:val="both"/>
            </w:pPr>
          </w:p>
          <w:p w14:paraId="6E7A7D36" w14:textId="3ED48708" w:rsidR="004C0ACE" w:rsidRPr="00F730A5" w:rsidRDefault="004C0ACE">
            <w:pPr>
              <w:jc w:val="both"/>
            </w:pPr>
          </w:p>
        </w:tc>
        <w:tc>
          <w:tcPr>
            <w:tcW w:w="283" w:type="dxa"/>
            <w:tcBorders>
              <w:top w:val="nil"/>
              <w:left w:val="nil"/>
              <w:bottom w:val="nil"/>
              <w:right w:val="nil"/>
            </w:tcBorders>
          </w:tcPr>
          <w:p w14:paraId="6C228311" w14:textId="77777777" w:rsidR="004C0ACE" w:rsidRPr="00F730A5" w:rsidRDefault="004C0ACE">
            <w:pPr>
              <w:spacing w:before="120"/>
              <w:jc w:val="both"/>
            </w:pPr>
          </w:p>
        </w:tc>
        <w:tc>
          <w:tcPr>
            <w:tcW w:w="5353" w:type="dxa"/>
            <w:tcBorders>
              <w:left w:val="nil"/>
              <w:right w:val="nil"/>
            </w:tcBorders>
          </w:tcPr>
          <w:p w14:paraId="030B0629" w14:textId="69E58275" w:rsidR="004258DC" w:rsidRPr="00F730A5" w:rsidRDefault="00C524EF" w:rsidP="00C524EF">
            <w:pPr>
              <w:spacing w:before="120"/>
              <w:jc w:val="both"/>
              <w:rPr>
                <w:color w:val="000000"/>
                <w:sz w:val="18"/>
                <w:szCs w:val="18"/>
              </w:rPr>
            </w:pPr>
            <w:r w:rsidRPr="00C524EF">
              <w:rPr>
                <w:color w:val="000000"/>
                <w:sz w:val="18"/>
                <w:szCs w:val="18"/>
              </w:rPr>
              <w:t xml:space="preserve">The phenomenon of suicide in </w:t>
            </w:r>
            <w:proofErr w:type="spellStart"/>
            <w:r w:rsidRPr="00C524EF">
              <w:rPr>
                <w:color w:val="000000"/>
                <w:sz w:val="18"/>
                <w:szCs w:val="18"/>
              </w:rPr>
              <w:t>Gunungkidul</w:t>
            </w:r>
            <w:proofErr w:type="spellEnd"/>
            <w:r w:rsidRPr="00C524EF">
              <w:rPr>
                <w:color w:val="000000"/>
                <w:sz w:val="18"/>
                <w:szCs w:val="18"/>
              </w:rPr>
              <w:t xml:space="preserve"> remains one of the most persistent social issues in Indonesia, characterized by high rates of cases influenced by poverty, shame (</w:t>
            </w:r>
            <w:proofErr w:type="spellStart"/>
            <w:r w:rsidRPr="00C524EF">
              <w:rPr>
                <w:color w:val="000000"/>
                <w:sz w:val="18"/>
                <w:szCs w:val="18"/>
              </w:rPr>
              <w:t>wirang</w:t>
            </w:r>
            <w:proofErr w:type="spellEnd"/>
            <w:r w:rsidRPr="00C524EF">
              <w:rPr>
                <w:color w:val="000000"/>
                <w:sz w:val="18"/>
                <w:szCs w:val="18"/>
              </w:rPr>
              <w:t xml:space="preserve">), chronic illness, and social isolation. Despite evidence showing strong socio-economic factors, a significant portion of the local community continues to interpret suicide through the myth of </w:t>
            </w:r>
            <w:proofErr w:type="spellStart"/>
            <w:r w:rsidRPr="00C524EF">
              <w:rPr>
                <w:color w:val="000000"/>
                <w:sz w:val="18"/>
                <w:szCs w:val="18"/>
              </w:rPr>
              <w:t>pulung</w:t>
            </w:r>
            <w:proofErr w:type="spellEnd"/>
            <w:r w:rsidRPr="00C524EF">
              <w:rPr>
                <w:color w:val="000000"/>
                <w:sz w:val="18"/>
                <w:szCs w:val="18"/>
              </w:rPr>
              <w:t xml:space="preserve"> </w:t>
            </w:r>
            <w:proofErr w:type="spellStart"/>
            <w:r w:rsidRPr="00C524EF">
              <w:rPr>
                <w:color w:val="000000"/>
                <w:sz w:val="18"/>
                <w:szCs w:val="18"/>
              </w:rPr>
              <w:t>gantung</w:t>
            </w:r>
            <w:proofErr w:type="spellEnd"/>
            <w:r w:rsidRPr="00C524EF">
              <w:rPr>
                <w:color w:val="000000"/>
                <w:sz w:val="18"/>
                <w:szCs w:val="18"/>
              </w:rPr>
              <w:t>. This tension between empirical reality and traditional belief has been widely discussed but has rarely been examined through a cross-textual perspective.</w:t>
            </w:r>
            <w:r>
              <w:rPr>
                <w:color w:val="000000"/>
                <w:sz w:val="18"/>
                <w:szCs w:val="18"/>
              </w:rPr>
              <w:t xml:space="preserve"> </w:t>
            </w:r>
            <w:r w:rsidRPr="00C524EF">
              <w:rPr>
                <w:color w:val="000000"/>
                <w:sz w:val="18"/>
                <w:szCs w:val="18"/>
              </w:rPr>
              <w:t xml:space="preserve">This study aims to reveal the forms of intertextuality between the film </w:t>
            </w:r>
            <w:proofErr w:type="spellStart"/>
            <w:r w:rsidRPr="00C524EF">
              <w:rPr>
                <w:color w:val="000000"/>
                <w:sz w:val="18"/>
                <w:szCs w:val="18"/>
              </w:rPr>
              <w:t>Lamun</w:t>
            </w:r>
            <w:proofErr w:type="spellEnd"/>
            <w:r w:rsidRPr="00C524EF">
              <w:rPr>
                <w:color w:val="000000"/>
                <w:sz w:val="18"/>
                <w:szCs w:val="18"/>
              </w:rPr>
              <w:t xml:space="preserve"> </w:t>
            </w:r>
            <w:proofErr w:type="spellStart"/>
            <w:r w:rsidRPr="00C524EF">
              <w:rPr>
                <w:color w:val="000000"/>
                <w:sz w:val="18"/>
                <w:szCs w:val="18"/>
              </w:rPr>
              <w:t>Sumelang</w:t>
            </w:r>
            <w:proofErr w:type="spellEnd"/>
            <w:r w:rsidRPr="00C524EF">
              <w:rPr>
                <w:color w:val="000000"/>
                <w:sz w:val="18"/>
                <w:szCs w:val="18"/>
              </w:rPr>
              <w:t xml:space="preserve"> (2019) by Ludy Oji </w:t>
            </w:r>
            <w:proofErr w:type="spellStart"/>
            <w:r w:rsidRPr="00C524EF">
              <w:rPr>
                <w:color w:val="000000"/>
                <w:sz w:val="18"/>
                <w:szCs w:val="18"/>
              </w:rPr>
              <w:t>Prastama</w:t>
            </w:r>
            <w:proofErr w:type="spellEnd"/>
            <w:r w:rsidRPr="00C524EF">
              <w:rPr>
                <w:color w:val="000000"/>
                <w:sz w:val="18"/>
                <w:szCs w:val="18"/>
              </w:rPr>
              <w:t xml:space="preserve"> and the book </w:t>
            </w:r>
            <w:proofErr w:type="spellStart"/>
            <w:r w:rsidRPr="00C524EF">
              <w:rPr>
                <w:color w:val="000000"/>
                <w:sz w:val="18"/>
                <w:szCs w:val="18"/>
              </w:rPr>
              <w:t>Pulung</w:t>
            </w:r>
            <w:proofErr w:type="spellEnd"/>
            <w:r w:rsidRPr="00C524EF">
              <w:rPr>
                <w:color w:val="000000"/>
                <w:sz w:val="18"/>
                <w:szCs w:val="18"/>
              </w:rPr>
              <w:t xml:space="preserve"> </w:t>
            </w:r>
            <w:proofErr w:type="spellStart"/>
            <w:r w:rsidRPr="00C524EF">
              <w:rPr>
                <w:color w:val="000000"/>
                <w:sz w:val="18"/>
                <w:szCs w:val="18"/>
              </w:rPr>
              <w:t>Gantung</w:t>
            </w:r>
            <w:proofErr w:type="spellEnd"/>
            <w:r w:rsidRPr="00C524EF">
              <w:rPr>
                <w:color w:val="000000"/>
                <w:sz w:val="18"/>
                <w:szCs w:val="18"/>
              </w:rPr>
              <w:t xml:space="preserve">: Uncovering the Tragedy of Suicide in </w:t>
            </w:r>
            <w:proofErr w:type="spellStart"/>
            <w:r w:rsidRPr="00C524EF">
              <w:rPr>
                <w:color w:val="000000"/>
                <w:sz w:val="18"/>
                <w:szCs w:val="18"/>
              </w:rPr>
              <w:t>Gunungkidul</w:t>
            </w:r>
            <w:proofErr w:type="spellEnd"/>
            <w:r w:rsidRPr="00C524EF">
              <w:rPr>
                <w:color w:val="000000"/>
                <w:sz w:val="18"/>
                <w:szCs w:val="18"/>
              </w:rPr>
              <w:t xml:space="preserve"> (2002) by </w:t>
            </w:r>
            <w:proofErr w:type="spellStart"/>
            <w:r w:rsidRPr="00C524EF">
              <w:rPr>
                <w:color w:val="000000"/>
                <w:sz w:val="18"/>
                <w:szCs w:val="18"/>
              </w:rPr>
              <w:t>Darmaningtyas</w:t>
            </w:r>
            <w:proofErr w:type="spellEnd"/>
            <w:r w:rsidRPr="00C524EF">
              <w:rPr>
                <w:color w:val="000000"/>
                <w:sz w:val="18"/>
                <w:szCs w:val="18"/>
              </w:rPr>
              <w:t xml:space="preserve"> by analyzing their interconnected meanings, thematic constructions, and socio-cultural representations. Using a descriptive qualitative method, this research applies Fitzsimmons’ intertextuality theory and a mise-</w:t>
            </w:r>
            <w:proofErr w:type="spellStart"/>
            <w:r w:rsidRPr="00C524EF">
              <w:rPr>
                <w:color w:val="000000"/>
                <w:sz w:val="18"/>
                <w:szCs w:val="18"/>
              </w:rPr>
              <w:t>en</w:t>
            </w:r>
            <w:proofErr w:type="spellEnd"/>
            <w:r w:rsidRPr="00C524EF">
              <w:rPr>
                <w:color w:val="000000"/>
                <w:sz w:val="18"/>
                <w:szCs w:val="18"/>
              </w:rPr>
              <w:t>-</w:t>
            </w:r>
            <w:proofErr w:type="spellStart"/>
            <w:r w:rsidRPr="00C524EF">
              <w:rPr>
                <w:color w:val="000000"/>
                <w:sz w:val="18"/>
                <w:szCs w:val="18"/>
              </w:rPr>
              <w:t>scène</w:t>
            </w:r>
            <w:proofErr w:type="spellEnd"/>
            <w:r w:rsidRPr="00C524EF">
              <w:rPr>
                <w:color w:val="000000"/>
                <w:sz w:val="18"/>
                <w:szCs w:val="18"/>
              </w:rPr>
              <w:t xml:space="preserve"> approach to interpret the film’s visual and narrative elements.</w:t>
            </w:r>
            <w:r>
              <w:rPr>
                <w:color w:val="000000"/>
                <w:sz w:val="18"/>
                <w:szCs w:val="18"/>
              </w:rPr>
              <w:t xml:space="preserve"> </w:t>
            </w:r>
            <w:r w:rsidRPr="00C524EF">
              <w:rPr>
                <w:color w:val="000000"/>
                <w:sz w:val="18"/>
                <w:szCs w:val="18"/>
              </w:rPr>
              <w:t xml:space="preserve">The results indicate that </w:t>
            </w:r>
            <w:proofErr w:type="spellStart"/>
            <w:r w:rsidRPr="00C524EF">
              <w:rPr>
                <w:color w:val="000000"/>
                <w:sz w:val="18"/>
                <w:szCs w:val="18"/>
              </w:rPr>
              <w:t>Lamun</w:t>
            </w:r>
            <w:proofErr w:type="spellEnd"/>
            <w:r w:rsidRPr="00C524EF">
              <w:rPr>
                <w:color w:val="000000"/>
                <w:sz w:val="18"/>
                <w:szCs w:val="18"/>
              </w:rPr>
              <w:t xml:space="preserve"> </w:t>
            </w:r>
            <w:proofErr w:type="spellStart"/>
            <w:r w:rsidRPr="00C524EF">
              <w:rPr>
                <w:color w:val="000000"/>
                <w:sz w:val="18"/>
                <w:szCs w:val="18"/>
              </w:rPr>
              <w:t>Sumelang</w:t>
            </w:r>
            <w:proofErr w:type="spellEnd"/>
            <w:r w:rsidRPr="00C524EF">
              <w:rPr>
                <w:color w:val="000000"/>
                <w:sz w:val="18"/>
                <w:szCs w:val="18"/>
              </w:rPr>
              <w:t xml:space="preserve"> reinterprets and revitalizes the text of </w:t>
            </w:r>
            <w:proofErr w:type="spellStart"/>
            <w:r w:rsidRPr="00C524EF">
              <w:rPr>
                <w:color w:val="000000"/>
                <w:sz w:val="18"/>
                <w:szCs w:val="18"/>
              </w:rPr>
              <w:t>Pulung</w:t>
            </w:r>
            <w:proofErr w:type="spellEnd"/>
            <w:r w:rsidRPr="00C524EF">
              <w:rPr>
                <w:color w:val="000000"/>
                <w:sz w:val="18"/>
                <w:szCs w:val="18"/>
              </w:rPr>
              <w:t xml:space="preserve"> </w:t>
            </w:r>
            <w:proofErr w:type="spellStart"/>
            <w:r w:rsidRPr="00C524EF">
              <w:rPr>
                <w:color w:val="000000"/>
                <w:sz w:val="18"/>
                <w:szCs w:val="18"/>
              </w:rPr>
              <w:t>Gantung</w:t>
            </w:r>
            <w:proofErr w:type="spellEnd"/>
            <w:r w:rsidRPr="00C524EF">
              <w:rPr>
                <w:color w:val="000000"/>
                <w:sz w:val="18"/>
                <w:szCs w:val="18"/>
              </w:rPr>
              <w:t xml:space="preserve"> through a dialogical relationship between myth, social conditions, and cinematic expression. The film presents suicide not merely as a cultural myth but as a socio-economic struggle embedded in the lived realities of rural communities.</w:t>
            </w:r>
            <w:r>
              <w:rPr>
                <w:color w:val="000000"/>
                <w:sz w:val="18"/>
                <w:szCs w:val="18"/>
              </w:rPr>
              <w:t xml:space="preserve"> </w:t>
            </w:r>
            <w:r w:rsidRPr="00C524EF">
              <w:rPr>
                <w:color w:val="000000"/>
                <w:sz w:val="18"/>
                <w:szCs w:val="18"/>
              </w:rPr>
              <w:t xml:space="preserve">In conclusion, </w:t>
            </w:r>
            <w:proofErr w:type="spellStart"/>
            <w:r w:rsidRPr="00C524EF">
              <w:rPr>
                <w:color w:val="000000"/>
                <w:sz w:val="18"/>
                <w:szCs w:val="18"/>
              </w:rPr>
              <w:t>Lamun</w:t>
            </w:r>
            <w:proofErr w:type="spellEnd"/>
            <w:r w:rsidRPr="00C524EF">
              <w:rPr>
                <w:color w:val="000000"/>
                <w:sz w:val="18"/>
                <w:szCs w:val="18"/>
              </w:rPr>
              <w:t xml:space="preserve"> </w:t>
            </w:r>
            <w:proofErr w:type="spellStart"/>
            <w:r w:rsidRPr="00C524EF">
              <w:rPr>
                <w:color w:val="000000"/>
                <w:sz w:val="18"/>
                <w:szCs w:val="18"/>
              </w:rPr>
              <w:t>Sumelang</w:t>
            </w:r>
            <w:proofErr w:type="spellEnd"/>
            <w:r w:rsidRPr="00C524EF">
              <w:rPr>
                <w:color w:val="000000"/>
                <w:sz w:val="18"/>
                <w:szCs w:val="18"/>
              </w:rPr>
              <w:t xml:space="preserve"> functions both as a medium of cultural representation and as a reflective tool for understanding the complexity of suicide in rural Indonesia.</w:t>
            </w:r>
          </w:p>
        </w:tc>
      </w:tr>
      <w:tr w:rsidR="004C0ACE" w:rsidRPr="00F730A5" w14:paraId="03565F04" w14:textId="77777777">
        <w:trPr>
          <w:trHeight w:val="212"/>
        </w:trPr>
        <w:tc>
          <w:tcPr>
            <w:tcW w:w="3261" w:type="dxa"/>
            <w:vMerge w:val="restart"/>
            <w:tcBorders>
              <w:left w:val="nil"/>
              <w:right w:val="nil"/>
            </w:tcBorders>
          </w:tcPr>
          <w:p w14:paraId="3DCE7F8D" w14:textId="77777777" w:rsidR="004C0ACE" w:rsidRPr="00F730A5" w:rsidRDefault="003F6233">
            <w:pPr>
              <w:jc w:val="both"/>
              <w:rPr>
                <w:b/>
              </w:rPr>
            </w:pPr>
            <w:r w:rsidRPr="00F730A5">
              <w:rPr>
                <w:b/>
              </w:rPr>
              <w:t>Corresponding Author:</w:t>
            </w:r>
          </w:p>
          <w:p w14:paraId="39FEE67B" w14:textId="3C8A9436" w:rsidR="004C0ACE" w:rsidRPr="00F730A5" w:rsidRDefault="003567AA" w:rsidP="003567AA">
            <w:pPr>
              <w:ind w:left="179"/>
              <w:jc w:val="both"/>
            </w:pPr>
            <w:r w:rsidRPr="00F730A5">
              <w:t>Deby Christi</w:t>
            </w:r>
          </w:p>
          <w:p w14:paraId="29ACC87D" w14:textId="4C03B500" w:rsidR="003567AA" w:rsidRPr="00F730A5" w:rsidRDefault="00DA25F5" w:rsidP="003567AA">
            <w:pPr>
              <w:ind w:left="179"/>
            </w:pPr>
            <w:r>
              <w:t>Petra Christian University</w:t>
            </w:r>
            <w:r w:rsidR="003567AA" w:rsidRPr="00F730A5">
              <w:t xml:space="preserve">; </w:t>
            </w:r>
            <w:hyperlink r:id="rId10" w:history="1">
              <w:r w:rsidR="003567AA" w:rsidRPr="00F730A5">
                <w:rPr>
                  <w:rStyle w:val="Hyperlink"/>
                </w:rPr>
                <w:t>deby.christi@gmail.com</w:t>
              </w:r>
            </w:hyperlink>
            <w:r w:rsidR="003567AA" w:rsidRPr="00F730A5">
              <w:t xml:space="preserve"> </w:t>
            </w:r>
          </w:p>
          <w:p w14:paraId="02DCD81A" w14:textId="77777777" w:rsidR="004C0ACE" w:rsidRPr="00F730A5" w:rsidRDefault="003F6233">
            <w:pPr>
              <w:ind w:left="179"/>
              <w:jc w:val="both"/>
            </w:pPr>
            <w:r w:rsidRPr="00F730A5">
              <w:t xml:space="preserve"> </w:t>
            </w:r>
          </w:p>
        </w:tc>
        <w:tc>
          <w:tcPr>
            <w:tcW w:w="283" w:type="dxa"/>
            <w:tcBorders>
              <w:top w:val="nil"/>
              <w:left w:val="nil"/>
              <w:bottom w:val="nil"/>
              <w:right w:val="nil"/>
            </w:tcBorders>
          </w:tcPr>
          <w:p w14:paraId="6D5B01A2" w14:textId="77777777" w:rsidR="004C0ACE" w:rsidRPr="00F730A5" w:rsidRDefault="004C0ACE">
            <w:pPr>
              <w:spacing w:before="120"/>
              <w:jc w:val="both"/>
            </w:pPr>
          </w:p>
        </w:tc>
        <w:tc>
          <w:tcPr>
            <w:tcW w:w="5353" w:type="dxa"/>
            <w:vMerge w:val="restart"/>
            <w:tcBorders>
              <w:left w:val="nil"/>
              <w:right w:val="nil"/>
            </w:tcBorders>
          </w:tcPr>
          <w:p w14:paraId="575A99CA" w14:textId="77777777" w:rsidR="004C0ACE" w:rsidRPr="00F730A5" w:rsidRDefault="003F6233">
            <w:pPr>
              <w:jc w:val="right"/>
              <w:rPr>
                <w:color w:val="000000"/>
                <w:sz w:val="18"/>
                <w:szCs w:val="18"/>
              </w:rPr>
            </w:pPr>
            <w:r w:rsidRPr="00F730A5">
              <w:rPr>
                <w:rFonts w:ascii="Palatino Linotype" w:eastAsia="Palatino Linotype" w:hAnsi="Palatino Linotype" w:cs="Palatino Linotype"/>
                <w:i/>
                <w:color w:val="000000"/>
                <w:sz w:val="18"/>
                <w:szCs w:val="18"/>
              </w:rPr>
              <w:t xml:space="preserve">This is an open access article under the </w:t>
            </w:r>
            <w:hyperlink r:id="rId11">
              <w:r w:rsidR="004C0ACE" w:rsidRPr="00F730A5">
                <w:rPr>
                  <w:rFonts w:ascii="Palatino Linotype" w:eastAsia="Palatino Linotype" w:hAnsi="Palatino Linotype" w:cs="Palatino Linotype"/>
                  <w:i/>
                  <w:color w:val="0000FF"/>
                  <w:sz w:val="18"/>
                  <w:szCs w:val="18"/>
                  <w:u w:val="single"/>
                </w:rPr>
                <w:t>CC BY-NC-SA</w:t>
              </w:r>
            </w:hyperlink>
            <w:r w:rsidRPr="00F730A5">
              <w:rPr>
                <w:rFonts w:ascii="Palatino Linotype" w:eastAsia="Palatino Linotype" w:hAnsi="Palatino Linotype" w:cs="Palatino Linotype"/>
                <w:i/>
                <w:color w:val="000000"/>
                <w:sz w:val="18"/>
                <w:szCs w:val="18"/>
              </w:rPr>
              <w:t xml:space="preserve"> license.</w:t>
            </w:r>
          </w:p>
          <w:p w14:paraId="49CAC78E" w14:textId="77777777" w:rsidR="004C0ACE" w:rsidRPr="00F730A5" w:rsidRDefault="003F6233">
            <w:pPr>
              <w:spacing w:before="120"/>
              <w:jc w:val="right"/>
              <w:rPr>
                <w:color w:val="000000"/>
                <w:sz w:val="18"/>
                <w:szCs w:val="18"/>
              </w:rPr>
            </w:pPr>
            <w:r w:rsidRPr="00F730A5">
              <w:rPr>
                <w:noProof/>
                <w:lang w:eastAsia="en-US"/>
              </w:rPr>
              <w:drawing>
                <wp:anchor distT="0" distB="0" distL="114300" distR="114300" simplePos="0" relativeHeight="251658240" behindDoc="0" locked="0" layoutInCell="1" hidden="0" allowOverlap="1" wp14:anchorId="4843DE94" wp14:editId="6EBEB911">
                  <wp:simplePos x="0" y="0"/>
                  <wp:positionH relativeFrom="column">
                    <wp:posOffset>2211070</wp:posOffset>
                  </wp:positionH>
                  <wp:positionV relativeFrom="paragraph">
                    <wp:posOffset>15240</wp:posOffset>
                  </wp:positionV>
                  <wp:extent cx="1054509" cy="371475"/>
                  <wp:effectExtent l="0" t="0" r="0" b="0"/>
                  <wp:wrapNone/>
                  <wp:docPr id="5160126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054509" cy="371475"/>
                          </a:xfrm>
                          <a:prstGeom prst="rect">
                            <a:avLst/>
                          </a:prstGeom>
                          <a:ln/>
                        </pic:spPr>
                      </pic:pic>
                    </a:graphicData>
                  </a:graphic>
                </wp:anchor>
              </w:drawing>
            </w:r>
          </w:p>
        </w:tc>
      </w:tr>
      <w:tr w:rsidR="004C0ACE" w:rsidRPr="00F730A5" w14:paraId="792C17A2" w14:textId="77777777">
        <w:trPr>
          <w:trHeight w:val="70"/>
        </w:trPr>
        <w:tc>
          <w:tcPr>
            <w:tcW w:w="3261" w:type="dxa"/>
            <w:vMerge/>
            <w:tcBorders>
              <w:left w:val="nil"/>
              <w:right w:val="nil"/>
            </w:tcBorders>
          </w:tcPr>
          <w:p w14:paraId="2387DA6C" w14:textId="77777777" w:rsidR="004C0ACE" w:rsidRPr="00F730A5" w:rsidRDefault="004C0ACE">
            <w:pPr>
              <w:widowControl w:val="0"/>
              <w:pBdr>
                <w:top w:val="nil"/>
                <w:left w:val="nil"/>
                <w:bottom w:val="nil"/>
                <w:right w:val="nil"/>
                <w:between w:val="nil"/>
              </w:pBdr>
              <w:spacing w:line="276" w:lineRule="auto"/>
              <w:rPr>
                <w:color w:val="000000"/>
                <w:sz w:val="18"/>
                <w:szCs w:val="18"/>
              </w:rPr>
            </w:pPr>
          </w:p>
        </w:tc>
        <w:tc>
          <w:tcPr>
            <w:tcW w:w="283" w:type="dxa"/>
            <w:tcBorders>
              <w:top w:val="nil"/>
              <w:left w:val="nil"/>
              <w:bottom w:val="single" w:sz="4" w:space="0" w:color="000000"/>
              <w:right w:val="nil"/>
            </w:tcBorders>
          </w:tcPr>
          <w:p w14:paraId="2DD31D07" w14:textId="77777777" w:rsidR="004C0ACE" w:rsidRPr="00F730A5" w:rsidRDefault="004C0ACE">
            <w:pPr>
              <w:spacing w:before="120"/>
              <w:jc w:val="both"/>
            </w:pPr>
          </w:p>
        </w:tc>
        <w:tc>
          <w:tcPr>
            <w:tcW w:w="5353" w:type="dxa"/>
            <w:vMerge/>
            <w:tcBorders>
              <w:left w:val="nil"/>
              <w:right w:val="nil"/>
            </w:tcBorders>
          </w:tcPr>
          <w:p w14:paraId="170D6D70" w14:textId="77777777" w:rsidR="004C0ACE" w:rsidRPr="00F730A5" w:rsidRDefault="004C0ACE">
            <w:pPr>
              <w:widowControl w:val="0"/>
              <w:pBdr>
                <w:top w:val="nil"/>
                <w:left w:val="nil"/>
                <w:bottom w:val="nil"/>
                <w:right w:val="nil"/>
                <w:between w:val="nil"/>
              </w:pBdr>
              <w:spacing w:line="276" w:lineRule="auto"/>
            </w:pPr>
          </w:p>
        </w:tc>
      </w:tr>
    </w:tbl>
    <w:p w14:paraId="2B9399AA" w14:textId="77777777" w:rsidR="004C0ACE" w:rsidRPr="00F730A5" w:rsidRDefault="004C0ACE">
      <w:pPr>
        <w:jc w:val="both"/>
      </w:pPr>
    </w:p>
    <w:p w14:paraId="3963957B" w14:textId="77777777" w:rsidR="00AF644E" w:rsidRPr="00F730A5" w:rsidRDefault="003F6233">
      <w:pPr>
        <w:numPr>
          <w:ilvl w:val="0"/>
          <w:numId w:val="1"/>
        </w:numPr>
        <w:tabs>
          <w:tab w:val="left" w:pos="426"/>
        </w:tabs>
        <w:ind w:left="426" w:hanging="426"/>
        <w:rPr>
          <w:b/>
        </w:rPr>
      </w:pPr>
      <w:r w:rsidRPr="00F730A5">
        <w:rPr>
          <w:b/>
        </w:rPr>
        <w:t>INTRODUCTION</w:t>
      </w:r>
    </w:p>
    <w:p w14:paraId="42B02F0A" w14:textId="77777777" w:rsidR="003177E5" w:rsidRDefault="003177E5" w:rsidP="003177E5">
      <w:pPr>
        <w:ind w:firstLine="720"/>
        <w:jc w:val="both"/>
      </w:pPr>
      <w:r>
        <w:t xml:space="preserve">The suicide phenomenon in Indonesia shows an increasing trend and continues to be a prominent social issue. IHME data recorded 746,000 suicides globally, with 4,750 cases occurring in Indonesia. The significant increase in 2024, particularly in Central Java and the Special Region of Yogyakarta, demonstrates the urgency of addressing this issue. In </w:t>
      </w:r>
      <w:proofErr w:type="spellStart"/>
      <w:r>
        <w:t>Gunungkidul</w:t>
      </w:r>
      <w:proofErr w:type="spellEnd"/>
      <w:r>
        <w:t>, suicides frequently occur among people of productive age and older. This high rate indicates interconnected social and cultural factors.</w:t>
      </w:r>
    </w:p>
    <w:p w14:paraId="7C096D11" w14:textId="2AB22D18" w:rsidR="003177E5" w:rsidRDefault="003177E5" w:rsidP="003177E5">
      <w:pPr>
        <w:ind w:firstLine="720"/>
        <w:jc w:val="both"/>
      </w:pPr>
      <w:proofErr w:type="spellStart"/>
      <w:r>
        <w:t>Gunungkidul</w:t>
      </w:r>
      <w:proofErr w:type="spellEnd"/>
      <w:r>
        <w:t xml:space="preserve"> is known as the region with the highest suicide rate in Yogyakarta Special Region, and the most common method is hanging</w:t>
      </w:r>
      <w:r w:rsidR="00E22360">
        <w:t xml:space="preserve"> </w:t>
      </w:r>
      <w:r w:rsidR="00E22360">
        <w:fldChar w:fldCharType="begin" w:fldLock="1"/>
      </w:r>
      <w:r w:rsidR="009B40B5">
        <w:instrText>ADDIN CSL_CITATION {"citationItems":[{"id":"ITEM-1","itemData":{"ISBN":"9780231063258","author":[{"dropping-particle":"","family":"Kristeva","given":"Julia","non-dropping-particle":"","parse-names":false,"suffix":""}],"collection-title":"European Perspectives (COUP) Series","container-title":"The Kristeva Reader","id":"ITEM-1","issued":{"date-parts":[["1986"]]},"page":"35-61","publisher":"Columbia University Press","publisher-place":"New York","title":"Word, Dialogue and the Novel","type":"chapter"},"uris":["http://www.mendeley.com/documents/?uuid=aedcb97c-ed72-4d86-8431-4ecaf33ac2f9","http://www.mendeley.com/documents/?uuid=4b436932-0b5c-4448-aab7-66983c7502b5","http://www.mendeley.com/documents/?uuid=88c0f127-df8b-455b-9250-2839d51db391"]}],"mendeley":{"formattedCitation":"(Kristeva, 1986)","manualFormatting":"Kristeva (1986)","plainTextFormattedCitation":"(Kristeva, 1986)","previouslyFormattedCitation":"(Kristeva, 1986)"},"properties":{"noteIndex":0},"schema":"https://github.com/citation-style-language/schema/raw/master/csl-citation.json"}</w:instrText>
      </w:r>
      <w:r w:rsidR="00E22360">
        <w:fldChar w:fldCharType="separate"/>
      </w:r>
      <w:r w:rsidR="00E22360">
        <w:rPr>
          <w:noProof/>
        </w:rPr>
        <w:t>Kristeva (1986)</w:t>
      </w:r>
      <w:r w:rsidR="00E22360">
        <w:fldChar w:fldCharType="end"/>
      </w:r>
      <w:r>
        <w:t xml:space="preserve">. Locals often attribute this phenomenon to the myth of </w:t>
      </w:r>
      <w:proofErr w:type="spellStart"/>
      <w:r>
        <w:t>pulung</w:t>
      </w:r>
      <w:proofErr w:type="spellEnd"/>
      <w:r>
        <w:t xml:space="preserve"> </w:t>
      </w:r>
      <w:proofErr w:type="spellStart"/>
      <w:r>
        <w:t>gantung</w:t>
      </w:r>
      <w:proofErr w:type="spellEnd"/>
      <w:r>
        <w:t>, although research indicates socioeconomic factors are the primary cause</w:t>
      </w:r>
      <w:r w:rsidR="00E22360">
        <w:t xml:space="preserve"> </w:t>
      </w:r>
      <w:r w:rsidR="00E22360">
        <w:fldChar w:fldCharType="begin" w:fldLock="1"/>
      </w:r>
      <w:r w:rsidR="009B40B5">
        <w:instrText>ADDIN CSL_CITATION {"citationItems":[{"id":"ITEM-1","itemData":{"author":[{"dropping-particle":"","family":"Raj","given":"Prayer","non-dropping-particle":"","parse-names":false,"suffix":""}],"container-title":"Ars Artium","id":"ITEM-1","issued":{"date-parts":[["2015","1"]]},"title":"Text/Texts: Julia Kristeva's Concept of Intertextuality","type":"article-journal","volume":"3"},"uris":["http://www.mendeley.com/documents/?uuid=4d888b16-51e8-4967-b18b-10ccd35da070","http://www.mendeley.com/documents/?uuid=18c3578d-9382-45d5-aa1c-0bff70205b6b","http://www.mendeley.com/documents/?uuid=ca257f78-0069-46de-8615-618fc8360158"]}],"mendeley":{"formattedCitation":"(Raj, 2015)","plainTextFormattedCitation":"(Raj, 2015)","previouslyFormattedCitation":"(Raj, 2015)"},"properties":{"noteIndex":0},"schema":"https://github.com/citation-style-language/schema/raw/master/csl-citation.json"}</w:instrText>
      </w:r>
      <w:r w:rsidR="00E22360">
        <w:fldChar w:fldCharType="separate"/>
      </w:r>
      <w:r w:rsidR="00E22360">
        <w:rPr>
          <w:noProof/>
        </w:rPr>
        <w:t>(Raj, 2015)</w:t>
      </w:r>
      <w:r w:rsidR="00E22360">
        <w:fldChar w:fldCharType="end"/>
      </w:r>
      <w:r>
        <w:t>. Poverty, shame (</w:t>
      </w:r>
      <w:proofErr w:type="spellStart"/>
      <w:r>
        <w:t>wirang</w:t>
      </w:r>
      <w:proofErr w:type="spellEnd"/>
      <w:r>
        <w:t>), chronic illness, and social isolation are contributing factors. Belief in this myth remains strong despite the development of modern knowledge. This demonstrates a clash between empirical logic and traditional beliefs.</w:t>
      </w:r>
    </w:p>
    <w:p w14:paraId="10AA2E99" w14:textId="6A78884C" w:rsidR="003177E5" w:rsidRDefault="00102718" w:rsidP="003177E5">
      <w:pPr>
        <w:ind w:firstLine="720"/>
        <w:jc w:val="both"/>
      </w:pPr>
      <w:r>
        <w:t xml:space="preserve">Research by </w:t>
      </w:r>
      <w:r>
        <w:fldChar w:fldCharType="begin" w:fldLock="1"/>
      </w:r>
      <w:r w:rsidR="009B40B5">
        <w:instrText>ADDIN CSL_CITATION {"citationItems":[{"id":"ITEM-1","itemData":{"author":[{"dropping-particle":"","family":"Darmaningtyas","given":"","non-dropping-particle":"","parse-names":false,"suffix":""}],"id":"ITEM-1","issued":{"date-parts":[["2002"]]},"publisher":"Salwa Press","publisher-place":"Yogyakarta","title":"Pulung gantung: menyingkap tragedi bunuh diri di Gunungkidul","type":"book"},"uris":["http://www.mendeley.com/documents/?uuid=bb7940f8-5a7b-4ec6-a11d-55e3eff81432","http://www.mendeley.com/documents/?uuid=42fe8ec3-9916-4ed9-9d1a-d6321d301aa9"]}],"mendeley":{"formattedCitation":"(Darmaningtyas, 2002)","manualFormatting":"Darmaningtyas (2002)","plainTextFormattedCitation":"(Darmaningtyas, 2002)","previouslyFormattedCitation":"(Darmaningtyas, 2002)"},"properties":{"noteIndex":0},"schema":"https://github.com/citation-style-language/schema/raw/master/csl-citation.json"}</w:instrText>
      </w:r>
      <w:r>
        <w:fldChar w:fldCharType="separate"/>
      </w:r>
      <w:r>
        <w:rPr>
          <w:noProof/>
        </w:rPr>
        <w:t>Darmaningtyas (2002)</w:t>
      </w:r>
      <w:r>
        <w:fldChar w:fldCharType="end"/>
      </w:r>
      <w:r>
        <w:t xml:space="preserve"> </w:t>
      </w:r>
      <w:r w:rsidR="003177E5">
        <w:t xml:space="preserve">revealed that most suicides in </w:t>
      </w:r>
      <w:proofErr w:type="spellStart"/>
      <w:r w:rsidR="003177E5">
        <w:t>Gunungkidul</w:t>
      </w:r>
      <w:proofErr w:type="spellEnd"/>
      <w:r w:rsidR="003177E5">
        <w:t xml:space="preserve"> were influenced by economic pressures and psychosocial conditions, not the </w:t>
      </w:r>
      <w:proofErr w:type="spellStart"/>
      <w:r w:rsidR="003177E5">
        <w:t>pulung</w:t>
      </w:r>
      <w:proofErr w:type="spellEnd"/>
      <w:r w:rsidR="003177E5">
        <w:t xml:space="preserve"> </w:t>
      </w:r>
      <w:proofErr w:type="spellStart"/>
      <w:r w:rsidR="003177E5">
        <w:t>gantung</w:t>
      </w:r>
      <w:proofErr w:type="spellEnd"/>
      <w:r w:rsidR="003177E5">
        <w:t xml:space="preserve"> myth. She showed that victims generally came from poor, isolated, and low-educated communities. Meanwhile,</w:t>
      </w:r>
      <w:r w:rsidR="001B1AC3">
        <w:t xml:space="preserve"> </w:t>
      </w:r>
      <w:r w:rsidR="001510E3">
        <w:rPr>
          <w:noProof/>
        </w:rPr>
        <w:t>Sagita</w:t>
      </w:r>
      <w:r w:rsidR="003177E5">
        <w:t xml:space="preserve"> </w:t>
      </w:r>
      <w:r>
        <w:fldChar w:fldCharType="begin" w:fldLock="1"/>
      </w:r>
      <w:r w:rsidR="009B40B5">
        <w:instrText>ADDIN CSL_CITATION {"citationItems":[{"id":"ITEM-1","itemData":{"author":[{"dropping-particle":"","family":"Sagita","given":"Nafila Sri","non-dropping-particle":"","parse-names":false,"suffix":""}],"container-title":"detik.com","id":"ITEM-1","issued":{"date-parts":[["2025","10"]]},"title":"Provinsi Ini Catat Kasus Bunuh Diri Terbanyak di Indonesia","type":"article-newspaper"},"suppress-author":1,"uris":["http://www.mendeley.com/documents/?uuid=3a44a1a0-06ff-4466-b209-f8cc73c12e50","http://www.mendeley.com/documents/?uuid=febf956f-8c99-4440-bbf5-1c08dd4492d8","http://www.mendeley.com/documents/?uuid=b47aacdb-eaed-4cfb-b5f4-321ec78ea541"]}],"mendeley":{"formattedCitation":"(2025)","plainTextFormattedCitation":"(2025)","previouslyFormattedCitation":"(2025)"},"properties":{"noteIndex":0},"schema":"https://github.com/citation-style-language/schema/raw/master/csl-citation.json"}</w:instrText>
      </w:r>
      <w:r>
        <w:fldChar w:fldCharType="separate"/>
      </w:r>
      <w:r w:rsidR="001510E3" w:rsidRPr="001510E3">
        <w:rPr>
          <w:noProof/>
        </w:rPr>
        <w:t>(2025)</w:t>
      </w:r>
      <w:r>
        <w:fldChar w:fldCharType="end"/>
      </w:r>
      <w:r>
        <w:t xml:space="preserve"> </w:t>
      </w:r>
      <w:r w:rsidR="003177E5">
        <w:t xml:space="preserve">examined public perceptions of the </w:t>
      </w:r>
      <w:proofErr w:type="spellStart"/>
      <w:r w:rsidR="003177E5">
        <w:t>pulung</w:t>
      </w:r>
      <w:proofErr w:type="spellEnd"/>
      <w:r w:rsidR="003177E5">
        <w:t xml:space="preserve"> </w:t>
      </w:r>
      <w:proofErr w:type="spellStart"/>
      <w:r w:rsidR="003177E5">
        <w:t>gantung</w:t>
      </w:r>
      <w:proofErr w:type="spellEnd"/>
      <w:r w:rsidR="003177E5">
        <w:t xml:space="preserve"> myth. Their results showed that this myth continues to function as a symbolic explanation for the community. Both studies emphasized the strong role of local beliefs in understanding the phenomenon of suicide.</w:t>
      </w:r>
    </w:p>
    <w:p w14:paraId="6BCA5C27" w14:textId="4BE83319" w:rsidR="003177E5" w:rsidRDefault="004426E2" w:rsidP="003177E5">
      <w:pPr>
        <w:ind w:firstLine="720"/>
        <w:jc w:val="both"/>
      </w:pPr>
      <w:r>
        <w:rPr>
          <w:noProof/>
        </w:rPr>
        <w:lastRenderedPageBreak/>
        <w:t>Bordwell &amp; Thompson</w:t>
      </w:r>
      <w:r>
        <w:t xml:space="preserve"> </w:t>
      </w:r>
      <w:r>
        <w:fldChar w:fldCharType="begin" w:fldLock="1"/>
      </w:r>
      <w:r w:rsidR="009B40B5">
        <w:instrText>ADDIN CSL_CITATION {"citationItems":[{"id":"ITEM-1","itemData":{"ISBN":"9780073535067","author":[{"dropping-particle":"","family":"Bordwell","given":"D","non-dropping-particle":"","parse-names":false,"suffix":""},{"dropping-particle":"","family":"Thompson","given":"K","non-dropping-particle":"","parse-names":false,"suffix":""}],"collection-title":"Film Art: An Introduction","id":"ITEM-1","issued":{"date-parts":[["2008"]]},"publisher":"McGraw Hill","publisher-place":"New York","title":"Film Art: An Introduction","type":"book"},"suppress-author":1,"uris":["http://www.mendeley.com/documents/?uuid=791af8a9-3882-4e1a-b434-806b53792089","http://www.mendeley.com/documents/?uuid=202d0242-3606-4af6-a0ee-c1bcd2b08518","http://www.mendeley.com/documents/?uuid=8672d738-acad-4c83-b877-bd679398f74d"]}],"mendeley":{"formattedCitation":"(2008)","plainTextFormattedCitation":"(2008)","previouslyFormattedCitation":"(2008)"},"properties":{"noteIndex":0},"schema":"https://github.com/citation-style-language/schema/raw/master/csl-citation.json"}</w:instrText>
      </w:r>
      <w:r>
        <w:fldChar w:fldCharType="separate"/>
      </w:r>
      <w:r w:rsidRPr="004426E2">
        <w:rPr>
          <w:noProof/>
        </w:rPr>
        <w:t>(2008)</w:t>
      </w:r>
      <w:r>
        <w:fldChar w:fldCharType="end"/>
      </w:r>
      <w:r w:rsidR="001510E3">
        <w:t xml:space="preserve"> </w:t>
      </w:r>
      <w:r w:rsidR="003177E5">
        <w:t>highlighted the role of depression, economic pressure, and limited access to mental health services.</w:t>
      </w:r>
      <w:r w:rsidR="007721C4">
        <w:t xml:space="preserve"> </w:t>
      </w:r>
      <w:proofErr w:type="spellStart"/>
      <w:r>
        <w:t>Aragay</w:t>
      </w:r>
      <w:proofErr w:type="spellEnd"/>
      <w:r>
        <w:t xml:space="preserve"> </w:t>
      </w:r>
      <w:r>
        <w:fldChar w:fldCharType="begin" w:fldLock="1"/>
      </w:r>
      <w:r w:rsidR="009B40B5">
        <w:instrText>ADDIN CSL_CITATION {"citationItems":[{"id":"ITEM-1","itemData":{"ISBN":"9789042019577","author":[{"dropping-particle":"","family":"Aragay","given":"M","non-dropping-particle":"","parse-names":false,"suffix":""}],"collection-title":"Brill Book Archive Part 1, ISBN: 9789004472495","id":"ITEM-1","issued":{"date-parts":[["2005"]]},"publisher":"Rodopi","publisher-place":"Amsterdam","title":"Books in Motion: Adaptation, Intertextuality, Authorship","type":"book"},"suppress-author":1,"uris":["http://www.mendeley.com/documents/?uuid=f2e02f28-b3d3-4799-9c10-72fefce38641","http://www.mendeley.com/documents/?uuid=228c6fd8-eee5-4873-ae6a-0042bc956dbf","http://www.mendeley.com/documents/?uuid=10a7155d-562d-45cd-8c3a-9e26ab1065bb"]}],"mendeley":{"formattedCitation":"(2005)","plainTextFormattedCitation":"(2005)","previouslyFormattedCitation":"(2005)"},"properties":{"noteIndex":0},"schema":"https://github.com/citation-style-language/schema/raw/master/csl-citation.json"}</w:instrText>
      </w:r>
      <w:r>
        <w:fldChar w:fldCharType="separate"/>
      </w:r>
      <w:r w:rsidRPr="004426E2">
        <w:rPr>
          <w:noProof/>
        </w:rPr>
        <w:t>(2005)</w:t>
      </w:r>
      <w:r>
        <w:fldChar w:fldCharType="end"/>
      </w:r>
      <w:r>
        <w:t xml:space="preserve"> </w:t>
      </w:r>
      <w:r w:rsidR="003177E5">
        <w:t>found that local myths are often reproduced through literary works, reinforcing people's understanding of death and destiny.</w:t>
      </w:r>
      <w:r w:rsidR="007721C4">
        <w:t xml:space="preserve"> </w:t>
      </w:r>
      <w:r w:rsidR="003177E5">
        <w:t>All studies demonstrate that the phenomenon of suicide can be understood through the interaction of psychological, socio-cultural, and media representation factors. However, the relationship between these texts has not been analyzed from an intertextual perspective.</w:t>
      </w:r>
    </w:p>
    <w:p w14:paraId="4D3E2354" w14:textId="77777777" w:rsidR="003177E5" w:rsidRDefault="003177E5" w:rsidP="003177E5">
      <w:pPr>
        <w:ind w:firstLine="720"/>
        <w:jc w:val="both"/>
      </w:pPr>
      <w:r>
        <w:t xml:space="preserve">While there is considerable research on both the phenomenon of suicide and the myth of </w:t>
      </w:r>
      <w:proofErr w:type="spellStart"/>
      <w:r>
        <w:t>Pulung</w:t>
      </w:r>
      <w:proofErr w:type="spellEnd"/>
      <w:r>
        <w:t xml:space="preserve"> </w:t>
      </w:r>
      <w:proofErr w:type="spellStart"/>
      <w:r>
        <w:t>Gantung</w:t>
      </w:r>
      <w:proofErr w:type="spellEnd"/>
      <w:r>
        <w:t xml:space="preserve">, studies linking the two in an intertextual context are limited. No research has explicitly compared </w:t>
      </w:r>
      <w:proofErr w:type="spellStart"/>
      <w:r>
        <w:t>Darmaningtyas's</w:t>
      </w:r>
      <w:proofErr w:type="spellEnd"/>
      <w:r>
        <w:t xml:space="preserve"> book </w:t>
      </w:r>
      <w:proofErr w:type="spellStart"/>
      <w:r>
        <w:t>Pulung</w:t>
      </w:r>
      <w:proofErr w:type="spellEnd"/>
      <w:r>
        <w:t xml:space="preserve"> </w:t>
      </w:r>
      <w:proofErr w:type="spellStart"/>
      <w:r>
        <w:t>Gantung</w:t>
      </w:r>
      <w:proofErr w:type="spellEnd"/>
      <w:r>
        <w:t xml:space="preserve"> (2002) with the film </w:t>
      </w:r>
      <w:proofErr w:type="spellStart"/>
      <w:r>
        <w:t>Lamun</w:t>
      </w:r>
      <w:proofErr w:type="spellEnd"/>
      <w:r>
        <w:t xml:space="preserve"> </w:t>
      </w:r>
      <w:proofErr w:type="spellStart"/>
      <w:r>
        <w:t>Sumelang</w:t>
      </w:r>
      <w:proofErr w:type="spellEnd"/>
      <w:r>
        <w:t xml:space="preserve"> (2019). The relationship between scientific and cinematic texts on the phenomenon of suicide has not been discussed in depth. The intertextuality approach has been rarely used in previous research. This gap underscores the importance of this study.</w:t>
      </w:r>
    </w:p>
    <w:p w14:paraId="75A9D318" w14:textId="61D46439" w:rsidR="006E79E3" w:rsidRDefault="006E79E3" w:rsidP="003177E5">
      <w:pPr>
        <w:ind w:firstLine="720"/>
        <w:jc w:val="both"/>
      </w:pPr>
      <w:r w:rsidRPr="006E79E3">
        <w:t xml:space="preserve">The concept of intertextuality views that every text is always connected to other texts through a process of meaning transformation </w:t>
      </w:r>
      <w:r w:rsidRPr="008F40FC">
        <w:fldChar w:fldCharType="begin" w:fldLock="1"/>
      </w:r>
      <w:r w:rsidR="009B40B5">
        <w:instrText>ADDIN CSL_CITATION {"citationItems":[{"id":"ITEM-1","itemData":{"author":[{"dropping-particle":"","family":"Fitzsimmons","given":"John","non-dropping-particle":"","parse-names":false,"suffix":""}],"id":"ITEM-1","issued":{"date-parts":[["2013"]]},"publisher":"CQUniversity","publisher-place":"Rockhampton","title":"Romantic and Contemporary Poetry: Readings","type":"book"},"uris":["http://www.mendeley.com/documents/?uuid=9711eef6-0b56-4009-bdd6-12fd7182cc46","http://www.mendeley.com/documents/?uuid=05ff11ea-a145-4eb3-951b-778e35806234"]}],"mendeley":{"formattedCitation":"(Fitzsimmons, 2013)","plainTextFormattedCitation":"(Fitzsimmons, 2013)","previouslyFormattedCitation":"(Fitzsimmons, 2013)"},"properties":{"noteIndex":0},"schema":"https://github.com/citation-style-language/schema/raw/master/csl-citation.json"}</w:instrText>
      </w:r>
      <w:r w:rsidRPr="008F40FC">
        <w:fldChar w:fldCharType="separate"/>
      </w:r>
      <w:r w:rsidRPr="008F40FC">
        <w:rPr>
          <w:noProof/>
        </w:rPr>
        <w:t>(Fitzsimmons, 2013)</w:t>
      </w:r>
      <w:r w:rsidRPr="008F40FC">
        <w:fldChar w:fldCharType="end"/>
      </w:r>
      <w:r w:rsidRPr="006E79E3">
        <w:t xml:space="preserve">. Intertextuality occurs when a work adapts, reinterprets, or indirectly recreates the meaning of a prior text, whether required, optional, or unintentional. </w:t>
      </w:r>
      <w:r w:rsidRPr="008F40FC">
        <w:fldChar w:fldCharType="begin" w:fldLock="1"/>
      </w:r>
      <w:r w:rsidR="009B40B5">
        <w:instrText>ADDIN CSL_CITATION {"citationItems":[{"id":"ITEM-1","itemData":{"author":[{"dropping-particle":"","family":"Fitzsimmons","given":"John","non-dropping-particle":"","parse-names":false,"suffix":""}],"id":"ITEM-1","issued":{"date-parts":[["2013"]]},"publisher":"CQUniversity","publisher-place":"Rockhampton","title":"Romantic and Contemporary Poetry: Readings","type":"book"},"uris":["http://www.mendeley.com/documents/?uuid=05ff11ea-a145-4eb3-951b-778e35806234","http://www.mendeley.com/documents/?uuid=9711eef6-0b56-4009-bdd6-12fd7182cc46","http://www.mendeley.com/documents/?uuid=4b96d572-0744-46f3-89fa-0a136c032e65"]}],"mendeley":{"formattedCitation":"(Fitzsimmons, 2013)","manualFormatting":"Fitzsimmons (2013)","plainTextFormattedCitation":"(Fitzsimmons, 2013)","previouslyFormattedCitation":"(Fitzsimmons, 2013)"},"properties":{"noteIndex":0},"schema":"https://github.com/citation-style-language/schema/raw/master/csl-citation.json"}</w:instrText>
      </w:r>
      <w:r w:rsidRPr="008F40FC">
        <w:fldChar w:fldCharType="separate"/>
      </w:r>
      <w:r w:rsidRPr="008F40FC">
        <w:rPr>
          <w:noProof/>
        </w:rPr>
        <w:t>Fitzsimmons</w:t>
      </w:r>
      <w:r>
        <w:rPr>
          <w:noProof/>
        </w:rPr>
        <w:t xml:space="preserve"> (</w:t>
      </w:r>
      <w:r w:rsidRPr="008F40FC">
        <w:rPr>
          <w:noProof/>
        </w:rPr>
        <w:t>2013)</w:t>
      </w:r>
      <w:r w:rsidRPr="008F40FC">
        <w:fldChar w:fldCharType="end"/>
      </w:r>
      <w:r w:rsidRPr="006E79E3">
        <w:t xml:space="preserve"> categorizes these linkages into three types: mandatory, when understanding of the work is dependent on the reference text; optional, when the reference just improves the meaning; and accidental, when similarities emerge without the explicit purpose of the book's writer. </w:t>
      </w:r>
      <w:r>
        <w:fldChar w:fldCharType="begin" w:fldLock="1"/>
      </w:r>
      <w:r w:rsidR="009B40B5">
        <w:instrText>ADDIN CSL_CITATION {"citationItems":[{"id":"ITEM-1","itemData":{"ISBN":"9780520914728","author":[{"dropping-particle":"","family":"Iampolski","given":"M","non-dropping-particle":"","parse-names":false,"suffix":""}],"collection-title":"Online access: California Digital Library UC Press E-Books Collection, 1982-2004","id":"ITEM-1","issued":{"date-parts":[["1998"]]},"publisher":"University of California Press","publisher-place":"Oakland","title":"The Memory of Tiresias: Intertextuality and Film","type":"book"},"uris":["http://www.mendeley.com/documents/?uuid=2f73179a-2542-4f7f-a2bb-8e4cc87a7106","http://www.mendeley.com/documents/?uuid=77296bae-6a91-4317-8bd8-fb8c02caf59e","http://www.mendeley.com/documents/?uuid=f5045787-9550-4003-a3b7-1523bddf269f"]}],"mendeley":{"formattedCitation":"(Iampolski, 1998)","manualFormatting":"Iampolski (1998)","plainTextFormattedCitation":"(Iampolski, 1998)","previouslyFormattedCitation":"(Iampolski, 1998)"},"properties":{"noteIndex":0},"schema":"https://github.com/citation-style-language/schema/raw/master/csl-citation.json"}</w:instrText>
      </w:r>
      <w:r>
        <w:fldChar w:fldCharType="separate"/>
      </w:r>
      <w:r>
        <w:rPr>
          <w:noProof/>
        </w:rPr>
        <w:t>Iampolski (1998)</w:t>
      </w:r>
      <w:r>
        <w:fldChar w:fldCharType="end"/>
      </w:r>
      <w:r w:rsidRPr="006E79E3">
        <w:t xml:space="preserve"> claims that intertextuality enables new writings to resurrect old histories, social circumstances, or myths, resulting in dynamic cultural meanings. Using this framework, the film </w:t>
      </w:r>
      <w:proofErr w:type="spellStart"/>
      <w:r w:rsidRPr="006E79E3">
        <w:t>Lamun</w:t>
      </w:r>
      <w:proofErr w:type="spellEnd"/>
      <w:r w:rsidRPr="006E79E3">
        <w:t xml:space="preserve"> </w:t>
      </w:r>
      <w:proofErr w:type="spellStart"/>
      <w:r w:rsidRPr="006E79E3">
        <w:t>Sumelang</w:t>
      </w:r>
      <w:proofErr w:type="spellEnd"/>
      <w:r w:rsidRPr="006E79E3">
        <w:t xml:space="preserve"> can be read as a text that negotiates and reinterprets the representation of the </w:t>
      </w:r>
      <w:proofErr w:type="spellStart"/>
      <w:r w:rsidRPr="006E79E3">
        <w:t>Pulung</w:t>
      </w:r>
      <w:proofErr w:type="spellEnd"/>
      <w:r w:rsidRPr="006E79E3">
        <w:t xml:space="preserve"> </w:t>
      </w:r>
      <w:proofErr w:type="spellStart"/>
      <w:r w:rsidRPr="006E79E3">
        <w:t>Gantung</w:t>
      </w:r>
      <w:proofErr w:type="spellEnd"/>
      <w:r w:rsidRPr="006E79E3">
        <w:t xml:space="preserve"> myth, as well as the socioeconomic factors discussed in </w:t>
      </w:r>
      <w:proofErr w:type="spellStart"/>
      <w:r w:rsidRPr="006E79E3">
        <w:t>Darmaningtyas</w:t>
      </w:r>
      <w:proofErr w:type="spellEnd"/>
      <w:r w:rsidRPr="006E79E3">
        <w:t xml:space="preserve">' book </w:t>
      </w:r>
      <w:proofErr w:type="spellStart"/>
      <w:r w:rsidRPr="006E79E3">
        <w:t>Pulung</w:t>
      </w:r>
      <w:proofErr w:type="spellEnd"/>
      <w:r w:rsidRPr="006E79E3">
        <w:t xml:space="preserve"> </w:t>
      </w:r>
      <w:proofErr w:type="spellStart"/>
      <w:r w:rsidRPr="006E79E3">
        <w:t>Gantung</w:t>
      </w:r>
      <w:proofErr w:type="spellEnd"/>
      <w:r w:rsidRPr="006E79E3">
        <w:t>.</w:t>
      </w:r>
    </w:p>
    <w:p w14:paraId="63DE1B5D" w14:textId="25682D60" w:rsidR="003177E5" w:rsidRDefault="003177E5" w:rsidP="003177E5">
      <w:pPr>
        <w:ind w:firstLine="720"/>
        <w:jc w:val="both"/>
      </w:pPr>
      <w:r>
        <w:t xml:space="preserve">This study offers a novel approach in the form of a cross-medium intertextual analysis of book and film. Using Fitzsimmons' theory of intertextuality, this study examines how the two works relate to each other in shaping the meaning of suicide in </w:t>
      </w:r>
      <w:proofErr w:type="spellStart"/>
      <w:r>
        <w:t>Gunungkidul</w:t>
      </w:r>
      <w:proofErr w:type="spellEnd"/>
      <w:r w:rsidR="001510E3">
        <w:t xml:space="preserve"> </w:t>
      </w:r>
      <w:r w:rsidR="001510E3">
        <w:fldChar w:fldCharType="begin" w:fldLock="1"/>
      </w:r>
      <w:r w:rsidR="009B40B5">
        <w:instrText>ADDIN CSL_CITATION {"citationItems":[{"id":"ITEM-1","itemData":{"author":[{"dropping-particle":"","family":"Fatimah","given":"Siti","non-dropping-particle":"","parse-names":false,"suffix":""}],"container-title":"tirto.id","id":"ITEM-1","issued":{"date-parts":[["2025","10"]]},"title":"Kasus Bunuh Diri di DIY Naik 20%, Gunung Kidul Paling Banyak","type":"article-newspaper"},"uris":["http://www.mendeley.com/documents/?uuid=18826ecb-5173-4538-8045-42db105a6cf2","http://www.mendeley.com/documents/?uuid=881d6bda-6f39-4356-8427-c2c6edf271d2","http://www.mendeley.com/documents/?uuid=b6f1b2e9-6a8e-46e9-afb5-c91553565fc0"]}],"mendeley":{"formattedCitation":"(Fatimah, 2025)","plainTextFormattedCitation":"(Fatimah, 2025)","previouslyFormattedCitation":"(Fatimah, 2025)"},"properties":{"noteIndex":0},"schema":"https://github.com/citation-style-language/schema/raw/master/csl-citation.json"}</w:instrText>
      </w:r>
      <w:r w:rsidR="001510E3">
        <w:fldChar w:fldCharType="separate"/>
      </w:r>
      <w:r w:rsidR="001510E3">
        <w:rPr>
          <w:noProof/>
        </w:rPr>
        <w:t>(Fatimah, 2025)</w:t>
      </w:r>
      <w:r w:rsidR="001510E3">
        <w:fldChar w:fldCharType="end"/>
      </w:r>
      <w:r>
        <w:t xml:space="preserve">. Furthermore, a </w:t>
      </w:r>
      <w:r w:rsidRPr="005330CB">
        <w:rPr>
          <w:i/>
          <w:iCs/>
        </w:rPr>
        <w:t>mise-</w:t>
      </w:r>
      <w:proofErr w:type="spellStart"/>
      <w:r w:rsidRPr="005330CB">
        <w:rPr>
          <w:i/>
          <w:iCs/>
        </w:rPr>
        <w:t>en</w:t>
      </w:r>
      <w:proofErr w:type="spellEnd"/>
      <w:r w:rsidRPr="005330CB">
        <w:rPr>
          <w:i/>
          <w:iCs/>
        </w:rPr>
        <w:t>-</w:t>
      </w:r>
      <w:proofErr w:type="spellStart"/>
      <w:r w:rsidRPr="005330CB">
        <w:rPr>
          <w:i/>
          <w:iCs/>
        </w:rPr>
        <w:t>scène</w:t>
      </w:r>
      <w:proofErr w:type="spellEnd"/>
      <w:r>
        <w:t xml:space="preserve"> approach is used to examine how the film's visual elements represent myths and social pressures. This combination of these two approaches is rarely used in previous research. Thus, this study presents a new perspective in understanding cultural represe</w:t>
      </w:r>
      <w:r w:rsidR="001510E3">
        <w:t xml:space="preserve">ntations and social phenomena. According to </w:t>
      </w:r>
      <w:r w:rsidR="001510E3">
        <w:fldChar w:fldCharType="begin" w:fldLock="1"/>
      </w:r>
      <w:r w:rsidR="009B40B5">
        <w:instrText>ADDIN CSL_CITATION {"citationItems":[{"id":"ITEM-1","itemData":{"ISBN":"9780520914728","author":[{"dropping-particle":"","family":"Iampolski","given":"M","non-dropping-particle":"","parse-names":false,"suffix":""}],"collection-title":"Online access: California Digital Library UC Press E-Books Collection, 1982-2004","id":"ITEM-1","issued":{"date-parts":[["1998"]]},"publisher":"University of California Press","publisher-place":"Oakland","title":"The Memory of Tiresias: Intertextuality and Film","type":"book"},"uris":["http://www.mendeley.com/documents/?uuid=f5045787-9550-4003-a3b7-1523bddf269f","http://www.mendeley.com/documents/?uuid=2f73179a-2542-4f7f-a2bb-8e4cc87a7106","http://www.mendeley.com/documents/?uuid=77296bae-6a91-4317-8bd8-fb8c02caf59e"]}],"mendeley":{"formattedCitation":"(Iampolski, 1998)","manualFormatting":"Iampolski (1998)","plainTextFormattedCitation":"(Iampolski, 1998)","previouslyFormattedCitation":"(Iampolski, 1998)"},"properties":{"noteIndex":0},"schema":"https://github.com/citation-style-language/schema/raw/master/csl-citation.json"}</w:instrText>
      </w:r>
      <w:r w:rsidR="001510E3">
        <w:fldChar w:fldCharType="separate"/>
      </w:r>
      <w:r w:rsidR="001510E3">
        <w:rPr>
          <w:noProof/>
        </w:rPr>
        <w:t>Iampolski (1998)</w:t>
      </w:r>
      <w:r w:rsidR="001510E3">
        <w:fldChar w:fldCharType="end"/>
      </w:r>
      <w:r w:rsidR="001510E3">
        <w:t>, t</w:t>
      </w:r>
      <w:r>
        <w:t xml:space="preserve">he film </w:t>
      </w:r>
      <w:proofErr w:type="spellStart"/>
      <w:r>
        <w:t>Lamun</w:t>
      </w:r>
      <w:proofErr w:type="spellEnd"/>
      <w:r>
        <w:t xml:space="preserve"> </w:t>
      </w:r>
      <w:proofErr w:type="spellStart"/>
      <w:r>
        <w:t>Sumelang</w:t>
      </w:r>
      <w:proofErr w:type="spellEnd"/>
      <w:r>
        <w:t xml:space="preserve"> (Summit </w:t>
      </w:r>
      <w:proofErr w:type="spellStart"/>
      <w:r>
        <w:t>Lamun</w:t>
      </w:r>
      <w:proofErr w:type="spellEnd"/>
      <w:r>
        <w:t xml:space="preserve"> </w:t>
      </w:r>
      <w:proofErr w:type="spellStart"/>
      <w:r>
        <w:t>Sumelang</w:t>
      </w:r>
      <w:proofErr w:type="spellEnd"/>
      <w:r>
        <w:t xml:space="preserve">) is an important work because it depicts issues of poverty, despair, and myth as part of the struggles of life in the </w:t>
      </w:r>
      <w:proofErr w:type="spellStart"/>
      <w:r>
        <w:t>Gunungkidul</w:t>
      </w:r>
      <w:proofErr w:type="spellEnd"/>
      <w:r>
        <w:t xml:space="preserve"> community. The film's relevance as a cultural text makes it an appropriate object for analysis alongside </w:t>
      </w:r>
      <w:proofErr w:type="spellStart"/>
      <w:r>
        <w:t>Darmaningtyas's</w:t>
      </w:r>
      <w:proofErr w:type="spellEnd"/>
      <w:r>
        <w:t xml:space="preserve"> work</w:t>
      </w:r>
      <w:r w:rsidR="00E22360">
        <w:t xml:space="preserve">. </w:t>
      </w:r>
      <w:r w:rsidR="00E22360">
        <w:fldChar w:fldCharType="begin" w:fldLock="1"/>
      </w:r>
      <w:r w:rsidR="009B40B5">
        <w:instrText>ADDIN CSL_CITATION {"citationItems":[{"id":"ITEM-1","itemData":{"author":[{"dropping-particle":"","family":"Fitzsimmons","given":"John","non-dropping-particle":"","parse-names":false,"suffix":""}],"id":"ITEM-1","issued":{"date-parts":[["2013"]]},"publisher":"CQUniversity","publisher-place":"Rockhampton","title":"Romantic and Contemporary Poetry: Readings","type":"book"},"uris":["http://www.mendeley.com/documents/?uuid=05ff11ea-a145-4eb3-951b-778e35806234","http://www.mendeley.com/documents/?uuid=9711eef6-0b56-4009-bdd6-12fd7182cc46","http://www.mendeley.com/documents/?uuid=a42afc79-e87b-4950-9ccc-9def34852e3a"]}],"mendeley":{"formattedCitation":"(Fitzsimmons, 2013)","manualFormatting":"Fitzsimmons (2013)","plainTextFormattedCitation":"(Fitzsimmons, 2013)","previouslyFormattedCitation":"(Fitzsimmons, 2013)"},"properties":{"noteIndex":0},"schema":"https://github.com/citation-style-language/schema/raw/master/csl-citation.json"}</w:instrText>
      </w:r>
      <w:r w:rsidR="00E22360">
        <w:fldChar w:fldCharType="separate"/>
      </w:r>
      <w:r w:rsidR="00E22360">
        <w:rPr>
          <w:noProof/>
        </w:rPr>
        <w:t>Fitzsimmons (2013)</w:t>
      </w:r>
      <w:r w:rsidR="00E22360">
        <w:fldChar w:fldCharType="end"/>
      </w:r>
      <w:r w:rsidR="00E22360">
        <w:t xml:space="preserve">, </w:t>
      </w:r>
      <w:r w:rsidR="005330CB" w:rsidRPr="005330CB">
        <w:t>emphasizes how cinema can reinterpret pre-existing social narratives and animate local myths within artistic media. This research therefore contributes to a deeper understanding of the relationship between social reality and creative representation.</w:t>
      </w:r>
    </w:p>
    <w:p w14:paraId="32D0E892" w14:textId="1A6710D6" w:rsidR="003177E5" w:rsidRDefault="003177E5" w:rsidP="003177E5">
      <w:pPr>
        <w:ind w:firstLine="720"/>
        <w:jc w:val="both"/>
      </w:pPr>
      <w:r>
        <w:t xml:space="preserve">Based on this description, this study has several main objectives. First, to identify the forms of intertextuality between the film </w:t>
      </w:r>
      <w:proofErr w:type="spellStart"/>
      <w:r>
        <w:t>Lamun</w:t>
      </w:r>
      <w:proofErr w:type="spellEnd"/>
      <w:r>
        <w:t xml:space="preserve"> </w:t>
      </w:r>
      <w:proofErr w:type="spellStart"/>
      <w:r>
        <w:t>Sumelang</w:t>
      </w:r>
      <w:proofErr w:type="spellEnd"/>
      <w:r>
        <w:t xml:space="preserve"> and the book </w:t>
      </w:r>
      <w:proofErr w:type="spellStart"/>
      <w:r>
        <w:t>Pulung</w:t>
      </w:r>
      <w:proofErr w:type="spellEnd"/>
      <w:r>
        <w:t xml:space="preserve"> </w:t>
      </w:r>
      <w:proofErr w:type="spellStart"/>
      <w:r>
        <w:t>Gantung</w:t>
      </w:r>
      <w:proofErr w:type="spellEnd"/>
      <w:r>
        <w:t xml:space="preserve">. Second, to analyze the representation of the </w:t>
      </w:r>
      <w:proofErr w:type="spellStart"/>
      <w:r>
        <w:t>Pulung</w:t>
      </w:r>
      <w:proofErr w:type="spellEnd"/>
      <w:r>
        <w:t xml:space="preserve"> </w:t>
      </w:r>
      <w:proofErr w:type="spellStart"/>
      <w:r>
        <w:t>Gantung</w:t>
      </w:r>
      <w:proofErr w:type="spellEnd"/>
      <w:r>
        <w:t xml:space="preserve"> myth and the socio-economic factors of suicide in both works. Third, to explain how the film reinterprets pre-existing texts through its visual and narrative elements. This research is expected to enrich the study of </w:t>
      </w:r>
      <w:r w:rsidRPr="003177E5">
        <w:t xml:space="preserve">the relationship between myth, culture, and cinema in the context of </w:t>
      </w:r>
      <w:proofErr w:type="spellStart"/>
      <w:r w:rsidRPr="003177E5">
        <w:t>Gunungkidul</w:t>
      </w:r>
      <w:proofErr w:type="spellEnd"/>
      <w:r w:rsidRPr="003177E5">
        <w:t xml:space="preserve"> society.</w:t>
      </w:r>
    </w:p>
    <w:p w14:paraId="7A7AF74C" w14:textId="77777777" w:rsidR="00D35AD4" w:rsidRPr="00D35AD4" w:rsidRDefault="00D35AD4" w:rsidP="00A14F78">
      <w:pPr>
        <w:tabs>
          <w:tab w:val="left" w:pos="426"/>
        </w:tabs>
        <w:ind w:left="426"/>
      </w:pPr>
    </w:p>
    <w:p w14:paraId="2D75B5AF" w14:textId="66021F63" w:rsidR="004C0ACE" w:rsidRPr="00F730A5" w:rsidRDefault="003F6233">
      <w:pPr>
        <w:numPr>
          <w:ilvl w:val="0"/>
          <w:numId w:val="1"/>
        </w:numPr>
        <w:tabs>
          <w:tab w:val="left" w:pos="426"/>
        </w:tabs>
        <w:ind w:left="426" w:hanging="426"/>
      </w:pPr>
      <w:r w:rsidRPr="00F730A5">
        <w:rPr>
          <w:b/>
        </w:rPr>
        <w:t>METHODS</w:t>
      </w:r>
    </w:p>
    <w:p w14:paraId="785C057C" w14:textId="163C420A" w:rsidR="00EC240B" w:rsidRPr="00EC240B" w:rsidRDefault="00EC240B" w:rsidP="00EC240B">
      <w:pPr>
        <w:ind w:firstLine="720"/>
        <w:jc w:val="both"/>
      </w:pPr>
      <w:r w:rsidRPr="00EC240B">
        <w:t>In this study, the author used a qualitative descriptive method that focused on phenomenology, document and text studies to examine information. The purpose of this descriptive study was to describe and examine phenomena, events, social interactions, attitudes, beliefs, perceptions, and the thoughts of individuals and groups</w:t>
      </w:r>
      <w:r w:rsidR="00E22360">
        <w:t xml:space="preserve"> </w:t>
      </w:r>
      <w:r w:rsidR="00E22360">
        <w:fldChar w:fldCharType="begin" w:fldLock="1"/>
      </w:r>
      <w:r w:rsidR="009B40B5">
        <w:instrText>ADDIN CSL_CITATION {"citationItems":[{"id":"ITEM-1","itemData":{"author":[{"dropping-particle":"","family":"Sukmadinata","given":"N. S.","non-dropping-particle":"","parse-names":false,"suffix":""}],"id":"ITEM-1","issued":{"date-parts":[["2011"]]},"publisher":"Remaja Rosdakarya","publisher-place":"Bandung","title":"Metode penelitian pendidikan","type":"book"},"uris":["http://www.mendeley.com/documents/?uuid=deb1acfe-0710-406b-a19f-205d88954821","http://www.mendeley.com/documents/?uuid=7ef0c3b4-e89c-47f4-b4c1-92dc98d112cc"]}],"mendeley":{"formattedCitation":"(Sukmadinata, 2011)","plainTextFormattedCitation":"(Sukmadinata, 2011)","previouslyFormattedCitation":"(Sukmadinata, 2011)"},"properties":{"noteIndex":0},"schema":"https://github.com/citation-style-language/schema/raw/master/csl-citation.json"}</w:instrText>
      </w:r>
      <w:r w:rsidR="00E22360">
        <w:fldChar w:fldCharType="separate"/>
      </w:r>
      <w:r w:rsidR="00E22360">
        <w:rPr>
          <w:noProof/>
        </w:rPr>
        <w:t>(Sukmadinata, 2011)</w:t>
      </w:r>
      <w:r w:rsidR="00E22360">
        <w:fldChar w:fldCharType="end"/>
      </w:r>
      <w:r w:rsidR="00B950CC">
        <w:t xml:space="preserve">. </w:t>
      </w:r>
      <w:r w:rsidRPr="00EC240B">
        <w:t xml:space="preserve">In phenomenology, social and cultural phenomena and human behavior are understood by emphasizing subjective meanings, experiences, and the perspectives of the </w:t>
      </w:r>
      <w:proofErr w:type="spellStart"/>
      <w:r w:rsidRPr="00EC240B">
        <w:t>Gunungkidul</w:t>
      </w:r>
      <w:proofErr w:type="spellEnd"/>
      <w:r w:rsidRPr="00EC240B">
        <w:t xml:space="preserve"> community. Meanwhile, document and text studies were conducted by searching and researching online academic journals and videos related to the topic discussed.</w:t>
      </w:r>
    </w:p>
    <w:p w14:paraId="33B783A7" w14:textId="3AF7F53B" w:rsidR="00EC240B" w:rsidRPr="003567AA" w:rsidRDefault="00EC240B" w:rsidP="00EC240B">
      <w:pPr>
        <w:ind w:firstLine="720"/>
        <w:jc w:val="both"/>
      </w:pPr>
      <w:r w:rsidRPr="00EC240B">
        <w:t xml:space="preserve">In this case, the data was obtained from the analysis of the 2019 short film </w:t>
      </w:r>
      <w:proofErr w:type="spellStart"/>
      <w:r w:rsidR="002D3C8A" w:rsidRPr="002D3C8A">
        <w:rPr>
          <w:i/>
          <w:iCs/>
        </w:rPr>
        <w:t>Lamun</w:t>
      </w:r>
      <w:proofErr w:type="spellEnd"/>
      <w:r w:rsidR="002D3C8A" w:rsidRPr="002D3C8A">
        <w:rPr>
          <w:i/>
          <w:iCs/>
        </w:rPr>
        <w:t xml:space="preserve"> </w:t>
      </w:r>
      <w:proofErr w:type="spellStart"/>
      <w:r w:rsidR="002D3C8A" w:rsidRPr="002D3C8A">
        <w:rPr>
          <w:i/>
          <w:iCs/>
        </w:rPr>
        <w:t>Sumelang</w:t>
      </w:r>
      <w:proofErr w:type="spellEnd"/>
      <w:r w:rsidRPr="00EC240B">
        <w:t xml:space="preserve"> by Ludy Oji </w:t>
      </w:r>
      <w:proofErr w:type="spellStart"/>
      <w:r w:rsidR="006A533A">
        <w:t>Prastama</w:t>
      </w:r>
      <w:proofErr w:type="spellEnd"/>
      <w:r w:rsidR="006A533A">
        <w:t xml:space="preserve"> </w:t>
      </w:r>
      <w:r w:rsidRPr="00EC240B">
        <w:t xml:space="preserve">and the 2002 book </w:t>
      </w:r>
      <w:proofErr w:type="spellStart"/>
      <w:r w:rsidRPr="00EC240B">
        <w:rPr>
          <w:i/>
          <w:iCs/>
        </w:rPr>
        <w:t>Pulung</w:t>
      </w:r>
      <w:proofErr w:type="spellEnd"/>
      <w:r w:rsidRPr="00EC240B">
        <w:rPr>
          <w:i/>
          <w:iCs/>
        </w:rPr>
        <w:t xml:space="preserve"> </w:t>
      </w:r>
      <w:proofErr w:type="spellStart"/>
      <w:r w:rsidRPr="00EC240B">
        <w:rPr>
          <w:i/>
          <w:iCs/>
        </w:rPr>
        <w:t>Gantung</w:t>
      </w:r>
      <w:proofErr w:type="spellEnd"/>
      <w:r w:rsidRPr="00EC240B">
        <w:rPr>
          <w:i/>
          <w:iCs/>
        </w:rPr>
        <w:t xml:space="preserve">: </w:t>
      </w:r>
      <w:proofErr w:type="spellStart"/>
      <w:r w:rsidRPr="00EC240B">
        <w:rPr>
          <w:i/>
          <w:iCs/>
        </w:rPr>
        <w:t>Menyingkap</w:t>
      </w:r>
      <w:proofErr w:type="spellEnd"/>
      <w:r w:rsidRPr="00EC240B">
        <w:rPr>
          <w:i/>
          <w:iCs/>
        </w:rPr>
        <w:t xml:space="preserve"> </w:t>
      </w:r>
      <w:proofErr w:type="spellStart"/>
      <w:r w:rsidRPr="00EC240B">
        <w:rPr>
          <w:i/>
          <w:iCs/>
        </w:rPr>
        <w:t>Tragedi</w:t>
      </w:r>
      <w:proofErr w:type="spellEnd"/>
      <w:r w:rsidRPr="00EC240B">
        <w:rPr>
          <w:i/>
          <w:iCs/>
        </w:rPr>
        <w:t xml:space="preserve"> </w:t>
      </w:r>
      <w:proofErr w:type="spellStart"/>
      <w:r w:rsidRPr="00EC240B">
        <w:rPr>
          <w:i/>
          <w:iCs/>
        </w:rPr>
        <w:t>Bunuh</w:t>
      </w:r>
      <w:proofErr w:type="spellEnd"/>
      <w:r w:rsidRPr="00EC240B">
        <w:rPr>
          <w:i/>
          <w:iCs/>
        </w:rPr>
        <w:t xml:space="preserve"> Diri di </w:t>
      </w:r>
      <w:proofErr w:type="spellStart"/>
      <w:r w:rsidRPr="00EC240B">
        <w:rPr>
          <w:i/>
          <w:iCs/>
        </w:rPr>
        <w:t>Gunungkidul</w:t>
      </w:r>
      <w:proofErr w:type="spellEnd"/>
      <w:r w:rsidRPr="00EC240B">
        <w:t xml:space="preserve"> by </w:t>
      </w:r>
      <w:proofErr w:type="spellStart"/>
      <w:r w:rsidRPr="00EC240B">
        <w:t>Darmaningtyas</w:t>
      </w:r>
      <w:proofErr w:type="spellEnd"/>
      <w:r w:rsidRPr="00EC240B">
        <w:t xml:space="preserve">. The researcher watched the short film </w:t>
      </w:r>
      <w:proofErr w:type="spellStart"/>
      <w:r w:rsidR="002D3C8A" w:rsidRPr="002D3C8A">
        <w:rPr>
          <w:i/>
          <w:iCs/>
        </w:rPr>
        <w:t>Lamun</w:t>
      </w:r>
      <w:proofErr w:type="spellEnd"/>
      <w:r w:rsidR="002D3C8A" w:rsidRPr="002D3C8A">
        <w:rPr>
          <w:i/>
          <w:iCs/>
        </w:rPr>
        <w:t xml:space="preserve"> </w:t>
      </w:r>
      <w:proofErr w:type="spellStart"/>
      <w:r w:rsidR="002D3C8A" w:rsidRPr="002D3C8A">
        <w:rPr>
          <w:i/>
          <w:iCs/>
        </w:rPr>
        <w:t>Sumelang</w:t>
      </w:r>
      <w:proofErr w:type="spellEnd"/>
      <w:r w:rsidRPr="00EC240B">
        <w:t xml:space="preserve">, then noted the important parts that were relevant to the book </w:t>
      </w:r>
      <w:proofErr w:type="spellStart"/>
      <w:r w:rsidRPr="00D56EF1">
        <w:rPr>
          <w:i/>
          <w:iCs/>
        </w:rPr>
        <w:t>Pulung</w:t>
      </w:r>
      <w:proofErr w:type="spellEnd"/>
      <w:r w:rsidRPr="00D56EF1">
        <w:rPr>
          <w:i/>
          <w:iCs/>
        </w:rPr>
        <w:t xml:space="preserve"> </w:t>
      </w:r>
      <w:proofErr w:type="spellStart"/>
      <w:r w:rsidRPr="00D56EF1">
        <w:rPr>
          <w:i/>
          <w:iCs/>
        </w:rPr>
        <w:t>Gantung</w:t>
      </w:r>
      <w:proofErr w:type="spellEnd"/>
      <w:r w:rsidRPr="00EC240B">
        <w:t xml:space="preserve"> so that they could be analyzed and conclusions drawn.</w:t>
      </w:r>
    </w:p>
    <w:p w14:paraId="235C0B3A" w14:textId="77777777" w:rsidR="004C0ACE" w:rsidRPr="00F730A5" w:rsidRDefault="004C0ACE">
      <w:pPr>
        <w:ind w:firstLine="720"/>
        <w:jc w:val="both"/>
        <w:rPr>
          <w:color w:val="000000"/>
        </w:rPr>
      </w:pPr>
    </w:p>
    <w:p w14:paraId="1D276C17" w14:textId="64CFB333" w:rsidR="004C0ACE" w:rsidRPr="00F730A5" w:rsidRDefault="003F6233">
      <w:pPr>
        <w:numPr>
          <w:ilvl w:val="0"/>
          <w:numId w:val="1"/>
        </w:numPr>
        <w:tabs>
          <w:tab w:val="left" w:pos="426"/>
        </w:tabs>
        <w:ind w:left="426" w:hanging="426"/>
        <w:rPr>
          <w:b/>
        </w:rPr>
      </w:pPr>
      <w:r w:rsidRPr="00F730A5">
        <w:rPr>
          <w:b/>
        </w:rPr>
        <w:t>RESULTS AND DISCUSSION</w:t>
      </w:r>
    </w:p>
    <w:p w14:paraId="23B9BAF4" w14:textId="67813175" w:rsidR="00EC240B" w:rsidRPr="00EC240B" w:rsidRDefault="00EC240B" w:rsidP="00EC240B">
      <w:pPr>
        <w:ind w:firstLine="720"/>
        <w:jc w:val="both"/>
        <w:rPr>
          <w:color w:val="000000"/>
        </w:rPr>
      </w:pPr>
      <w:r w:rsidRPr="00EC240B">
        <w:rPr>
          <w:color w:val="000000"/>
        </w:rPr>
        <w:t xml:space="preserve">The author shows the intertextuality in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xml:space="preserve"> and the book </w:t>
      </w:r>
      <w:proofErr w:type="spellStart"/>
      <w:r w:rsidRPr="00EC240B">
        <w:rPr>
          <w:i/>
          <w:iCs/>
          <w:color w:val="000000"/>
        </w:rPr>
        <w:t>Pulung</w:t>
      </w:r>
      <w:proofErr w:type="spellEnd"/>
      <w:r w:rsidRPr="00EC240B">
        <w:rPr>
          <w:i/>
          <w:iCs/>
          <w:color w:val="000000"/>
        </w:rPr>
        <w:t xml:space="preserve"> </w:t>
      </w:r>
      <w:proofErr w:type="spellStart"/>
      <w:r w:rsidRPr="00EC240B">
        <w:rPr>
          <w:i/>
          <w:iCs/>
          <w:color w:val="000000"/>
        </w:rPr>
        <w:t>Gantung</w:t>
      </w:r>
      <w:proofErr w:type="spellEnd"/>
      <w:r w:rsidRPr="00EC240B">
        <w:rPr>
          <w:color w:val="000000"/>
        </w:rPr>
        <w:t xml:space="preserve"> by describing the results of the analysis of several scenes in the short film with case studies from the book based on interviews with respondents who are family members and/or close friends of suicide victims in </w:t>
      </w:r>
      <w:proofErr w:type="spellStart"/>
      <w:r w:rsidRPr="00EC240B">
        <w:rPr>
          <w:color w:val="000000"/>
        </w:rPr>
        <w:t>Gunungkidul</w:t>
      </w:r>
      <w:proofErr w:type="spellEnd"/>
      <w:r w:rsidRPr="00EC240B">
        <w:rPr>
          <w:color w:val="000000"/>
        </w:rPr>
        <w:t xml:space="preserve">. The names and places of residence of the suicide victims were deliberately disguised by </w:t>
      </w:r>
      <w:proofErr w:type="spellStart"/>
      <w:r w:rsidRPr="00EC240B">
        <w:rPr>
          <w:color w:val="000000"/>
        </w:rPr>
        <w:t>Darmaningtyas</w:t>
      </w:r>
      <w:proofErr w:type="spellEnd"/>
      <w:r w:rsidRPr="00EC240B">
        <w:rPr>
          <w:color w:val="000000"/>
        </w:rPr>
        <w:t xml:space="preserve">. The following are four similarities found in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xml:space="preserve"> and the book </w:t>
      </w:r>
      <w:proofErr w:type="spellStart"/>
      <w:r w:rsidRPr="00EC240B">
        <w:rPr>
          <w:i/>
          <w:iCs/>
          <w:color w:val="000000"/>
        </w:rPr>
        <w:t>Pulung</w:t>
      </w:r>
      <w:proofErr w:type="spellEnd"/>
      <w:r w:rsidRPr="00EC240B">
        <w:rPr>
          <w:i/>
          <w:iCs/>
          <w:color w:val="000000"/>
        </w:rPr>
        <w:t xml:space="preserve"> </w:t>
      </w:r>
      <w:proofErr w:type="spellStart"/>
      <w:r w:rsidRPr="00EC240B">
        <w:rPr>
          <w:i/>
          <w:iCs/>
          <w:color w:val="000000"/>
        </w:rPr>
        <w:t>Gantung</w:t>
      </w:r>
      <w:proofErr w:type="spellEnd"/>
      <w:r w:rsidRPr="00EC240B">
        <w:rPr>
          <w:color w:val="000000"/>
        </w:rPr>
        <w:t>:</w:t>
      </w:r>
    </w:p>
    <w:p w14:paraId="1C8389B8" w14:textId="77777777" w:rsidR="00EC240B" w:rsidRPr="00F730A5" w:rsidRDefault="00EC240B" w:rsidP="00EC240B">
      <w:pPr>
        <w:jc w:val="both"/>
        <w:rPr>
          <w:b/>
          <w:bCs/>
          <w:color w:val="000000"/>
        </w:rPr>
      </w:pPr>
    </w:p>
    <w:p w14:paraId="2745F477" w14:textId="68C9B076" w:rsidR="00EC240B" w:rsidRPr="00EC240B" w:rsidRDefault="00EC240B" w:rsidP="00EC240B">
      <w:pPr>
        <w:jc w:val="both"/>
        <w:rPr>
          <w:b/>
          <w:bCs/>
          <w:color w:val="000000"/>
        </w:rPr>
      </w:pPr>
      <w:proofErr w:type="spellStart"/>
      <w:r w:rsidRPr="00EC240B">
        <w:rPr>
          <w:b/>
          <w:bCs/>
          <w:color w:val="000000"/>
        </w:rPr>
        <w:t>Pulung</w:t>
      </w:r>
      <w:proofErr w:type="spellEnd"/>
      <w:r w:rsidRPr="00EC240B">
        <w:rPr>
          <w:b/>
          <w:bCs/>
          <w:color w:val="000000"/>
        </w:rPr>
        <w:t xml:space="preserve"> </w:t>
      </w:r>
      <w:proofErr w:type="spellStart"/>
      <w:r w:rsidRPr="00EC240B">
        <w:rPr>
          <w:b/>
          <w:bCs/>
          <w:color w:val="000000"/>
        </w:rPr>
        <w:t>Gantung</w:t>
      </w:r>
      <w:proofErr w:type="spellEnd"/>
    </w:p>
    <w:p w14:paraId="0D617F50" w14:textId="2FC72C8D" w:rsidR="00EC240B" w:rsidRPr="00623479" w:rsidRDefault="00EC240B" w:rsidP="00F730A5">
      <w:pPr>
        <w:ind w:firstLine="720"/>
        <w:jc w:val="both"/>
        <w:rPr>
          <w:color w:val="000000"/>
        </w:rPr>
      </w:pPr>
      <w:r w:rsidRPr="00EC240B">
        <w:rPr>
          <w:color w:val="000000"/>
        </w:rPr>
        <w:t xml:space="preserve">At the beginning of the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xml:space="preserve">, it opens with a scene of Agus looking up at the sky as if searching for something. Then, a red ball of fire with a tail is seen falling in a certain location. Agus, who sees the ball of fire, follows its direction, and there he finds Mbah </w:t>
      </w:r>
      <w:proofErr w:type="spellStart"/>
      <w:r w:rsidRPr="00EC240B">
        <w:rPr>
          <w:color w:val="000000"/>
        </w:rPr>
        <w:t>Parmin</w:t>
      </w:r>
      <w:proofErr w:type="spellEnd"/>
      <w:r w:rsidRPr="00EC240B">
        <w:rPr>
          <w:color w:val="000000"/>
        </w:rPr>
        <w:t>, who is planning to hang himself.</w:t>
      </w:r>
    </w:p>
    <w:p w14:paraId="359CA6D7" w14:textId="77777777" w:rsidR="00623479" w:rsidRPr="00F730A5" w:rsidRDefault="00623479" w:rsidP="00623479">
      <w:pPr>
        <w:jc w:val="both"/>
        <w:rPr>
          <w:b/>
          <w:bCs/>
          <w:color w:val="000000"/>
        </w:rPr>
      </w:pPr>
    </w:p>
    <w:p w14:paraId="58359077" w14:textId="19F3F75B" w:rsidR="00EC240B" w:rsidRPr="00F730A5" w:rsidRDefault="00EC240B" w:rsidP="00EC240B">
      <w:pPr>
        <w:jc w:val="center"/>
        <w:rPr>
          <w:b/>
          <w:bCs/>
          <w:color w:val="000000"/>
        </w:rPr>
      </w:pPr>
      <w:r w:rsidRPr="00F730A5">
        <w:rPr>
          <w:noProof/>
          <w:lang w:eastAsia="en-US"/>
        </w:rPr>
        <w:drawing>
          <wp:inline distT="114300" distB="114300" distL="114300" distR="114300" wp14:anchorId="3F651488" wp14:editId="23D18145">
            <wp:extent cx="3586163" cy="1422396"/>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3586163" cy="1422396"/>
                    </a:xfrm>
                    <a:prstGeom prst="rect">
                      <a:avLst/>
                    </a:prstGeom>
                    <a:ln/>
                  </pic:spPr>
                </pic:pic>
              </a:graphicData>
            </a:graphic>
          </wp:inline>
        </w:drawing>
      </w:r>
    </w:p>
    <w:p w14:paraId="15DE497D" w14:textId="3D84C80A" w:rsidR="00EC240B" w:rsidRPr="00F730A5" w:rsidRDefault="00EC240B" w:rsidP="00EC240B">
      <w:pPr>
        <w:jc w:val="center"/>
        <w:rPr>
          <w:b/>
          <w:bCs/>
          <w:color w:val="000000"/>
        </w:rPr>
      </w:pPr>
      <w:r w:rsidRPr="00F730A5">
        <w:rPr>
          <w:b/>
          <w:bCs/>
          <w:color w:val="000000"/>
        </w:rPr>
        <w:t xml:space="preserve">Figure 1. Agus searching for </w:t>
      </w:r>
      <w:proofErr w:type="spellStart"/>
      <w:r w:rsidR="007B19C9" w:rsidRPr="007B19C9">
        <w:rPr>
          <w:b/>
          <w:bCs/>
          <w:color w:val="000000"/>
        </w:rPr>
        <w:t>Pulung</w:t>
      </w:r>
      <w:proofErr w:type="spellEnd"/>
      <w:r w:rsidR="007B19C9" w:rsidRPr="007B19C9">
        <w:rPr>
          <w:b/>
          <w:bCs/>
          <w:color w:val="000000"/>
        </w:rPr>
        <w:t xml:space="preserve"> </w:t>
      </w:r>
      <w:proofErr w:type="spellStart"/>
      <w:r w:rsidR="007B19C9" w:rsidRPr="007B19C9">
        <w:rPr>
          <w:b/>
          <w:bCs/>
          <w:color w:val="000000"/>
        </w:rPr>
        <w:t>Gantung</w:t>
      </w:r>
      <w:proofErr w:type="spellEnd"/>
    </w:p>
    <w:p w14:paraId="566DF2C2" w14:textId="5DECE20D" w:rsidR="00EC240B" w:rsidRPr="00F730A5" w:rsidRDefault="00EC240B" w:rsidP="00623479">
      <w:pPr>
        <w:jc w:val="both"/>
        <w:rPr>
          <w:b/>
          <w:bCs/>
          <w:color w:val="000000"/>
        </w:rPr>
      </w:pPr>
    </w:p>
    <w:p w14:paraId="2C93C327" w14:textId="77777777" w:rsidR="00C76166" w:rsidRDefault="00623479" w:rsidP="00623479">
      <w:pPr>
        <w:ind w:firstLine="720"/>
        <w:jc w:val="both"/>
        <w:rPr>
          <w:color w:val="000000"/>
        </w:rPr>
      </w:pPr>
      <w:r w:rsidRPr="00623479">
        <w:rPr>
          <w:color w:val="000000"/>
        </w:rPr>
        <w:t xml:space="preserve">In the book </w:t>
      </w:r>
      <w:proofErr w:type="spellStart"/>
      <w:r w:rsidR="005B3576" w:rsidRPr="00372F2C">
        <w:rPr>
          <w:i/>
          <w:iCs/>
          <w:color w:val="000000"/>
        </w:rPr>
        <w:t>Pulung</w:t>
      </w:r>
      <w:proofErr w:type="spellEnd"/>
      <w:r w:rsidR="005B3576" w:rsidRPr="00372F2C">
        <w:rPr>
          <w:i/>
          <w:iCs/>
          <w:color w:val="000000"/>
        </w:rPr>
        <w:t xml:space="preserve"> </w:t>
      </w:r>
      <w:proofErr w:type="spellStart"/>
      <w:r w:rsidR="005B3576" w:rsidRPr="00372F2C">
        <w:rPr>
          <w:i/>
          <w:iCs/>
          <w:color w:val="000000"/>
        </w:rPr>
        <w:t>Gantung</w:t>
      </w:r>
      <w:proofErr w:type="spellEnd"/>
      <w:r w:rsidRPr="00623479">
        <w:rPr>
          <w:color w:val="000000"/>
        </w:rPr>
        <w:t xml:space="preserve">, several testimonies from residents who saw </w:t>
      </w:r>
      <w:proofErr w:type="spellStart"/>
      <w:r w:rsidR="005B3576" w:rsidRPr="00F730A5">
        <w:rPr>
          <w:color w:val="000000"/>
        </w:rPr>
        <w:t>Pulung</w:t>
      </w:r>
      <w:proofErr w:type="spellEnd"/>
      <w:r w:rsidR="005B3576" w:rsidRPr="00F730A5">
        <w:rPr>
          <w:color w:val="000000"/>
        </w:rPr>
        <w:t xml:space="preserve"> </w:t>
      </w:r>
      <w:proofErr w:type="spellStart"/>
      <w:r w:rsidR="005B3576" w:rsidRPr="00F730A5">
        <w:rPr>
          <w:color w:val="000000"/>
        </w:rPr>
        <w:t>Gantung</w:t>
      </w:r>
      <w:proofErr w:type="spellEnd"/>
      <w:r w:rsidR="001F4D2B" w:rsidRPr="00F730A5">
        <w:rPr>
          <w:i/>
          <w:iCs/>
          <w:color w:val="000000"/>
        </w:rPr>
        <w:t xml:space="preserve"> </w:t>
      </w:r>
      <w:r w:rsidRPr="00623479">
        <w:rPr>
          <w:color w:val="000000"/>
        </w:rPr>
        <w:t xml:space="preserve">before the suicide occurred are presented. Among them are incidents in Mojo Village and </w:t>
      </w:r>
      <w:proofErr w:type="spellStart"/>
      <w:r w:rsidRPr="00623479">
        <w:rPr>
          <w:color w:val="000000"/>
        </w:rPr>
        <w:t>Serang</w:t>
      </w:r>
      <w:proofErr w:type="spellEnd"/>
      <w:r w:rsidRPr="00623479">
        <w:rPr>
          <w:color w:val="000000"/>
        </w:rPr>
        <w:t xml:space="preserve"> Sabin Village. In 1992, Mojo </w:t>
      </w:r>
      <w:proofErr w:type="spellStart"/>
      <w:r w:rsidRPr="00623479">
        <w:rPr>
          <w:color w:val="000000"/>
        </w:rPr>
        <w:t>Gunungkidul</w:t>
      </w:r>
      <w:proofErr w:type="spellEnd"/>
      <w:r w:rsidRPr="00623479">
        <w:rPr>
          <w:color w:val="000000"/>
        </w:rPr>
        <w:t xml:space="preserve"> Village was in an uproar when an eyewitness named </w:t>
      </w:r>
      <w:proofErr w:type="spellStart"/>
      <w:r w:rsidRPr="00623479">
        <w:rPr>
          <w:color w:val="000000"/>
        </w:rPr>
        <w:t>Mbok</w:t>
      </w:r>
      <w:proofErr w:type="spellEnd"/>
      <w:r w:rsidRPr="00623479">
        <w:rPr>
          <w:color w:val="000000"/>
        </w:rPr>
        <w:t xml:space="preserve"> Karyo claimed to have seen a reddish </w:t>
      </w:r>
      <w:proofErr w:type="spellStart"/>
      <w:r w:rsidR="005B3576" w:rsidRPr="00F730A5">
        <w:rPr>
          <w:color w:val="000000"/>
        </w:rPr>
        <w:t>Pulung</w:t>
      </w:r>
      <w:proofErr w:type="spellEnd"/>
      <w:r w:rsidR="005B3576" w:rsidRPr="00F730A5">
        <w:rPr>
          <w:color w:val="000000"/>
        </w:rPr>
        <w:t xml:space="preserve"> </w:t>
      </w:r>
      <w:proofErr w:type="spellStart"/>
      <w:r w:rsidR="005B3576" w:rsidRPr="00F730A5">
        <w:rPr>
          <w:color w:val="000000"/>
        </w:rPr>
        <w:t>Gantung</w:t>
      </w:r>
      <w:proofErr w:type="spellEnd"/>
      <w:r w:rsidR="001F4D2B" w:rsidRPr="00F730A5">
        <w:rPr>
          <w:i/>
          <w:iCs/>
          <w:color w:val="000000"/>
        </w:rPr>
        <w:t xml:space="preserve"> </w:t>
      </w:r>
      <w:r w:rsidRPr="00623479">
        <w:rPr>
          <w:color w:val="000000"/>
        </w:rPr>
        <w:t xml:space="preserve">fall to the west. The appearance of the </w:t>
      </w:r>
      <w:proofErr w:type="spellStart"/>
      <w:r w:rsidR="005B3576" w:rsidRPr="00F730A5">
        <w:rPr>
          <w:color w:val="000000"/>
        </w:rPr>
        <w:t>Pulung</w:t>
      </w:r>
      <w:proofErr w:type="spellEnd"/>
      <w:r w:rsidR="005B3576" w:rsidRPr="00F730A5">
        <w:rPr>
          <w:color w:val="000000"/>
        </w:rPr>
        <w:t xml:space="preserve"> </w:t>
      </w:r>
      <w:proofErr w:type="spellStart"/>
      <w:r w:rsidR="005B3576" w:rsidRPr="00F730A5">
        <w:rPr>
          <w:color w:val="000000"/>
        </w:rPr>
        <w:t>Gantung</w:t>
      </w:r>
      <w:proofErr w:type="spellEnd"/>
      <w:r w:rsidR="001F4D2B" w:rsidRPr="00F730A5">
        <w:rPr>
          <w:i/>
          <w:iCs/>
          <w:color w:val="000000"/>
        </w:rPr>
        <w:t xml:space="preserve"> </w:t>
      </w:r>
      <w:r w:rsidRPr="00623479">
        <w:rPr>
          <w:color w:val="000000"/>
        </w:rPr>
        <w:t xml:space="preserve">made the villagers wonder who the “victim” of the </w:t>
      </w:r>
      <w:proofErr w:type="spellStart"/>
      <w:r w:rsidR="005B3576" w:rsidRPr="00F730A5">
        <w:rPr>
          <w:color w:val="000000"/>
        </w:rPr>
        <w:t>Pulung</w:t>
      </w:r>
      <w:proofErr w:type="spellEnd"/>
      <w:r w:rsidR="005B3576" w:rsidRPr="00F730A5">
        <w:rPr>
          <w:color w:val="000000"/>
        </w:rPr>
        <w:t xml:space="preserve"> </w:t>
      </w:r>
      <w:proofErr w:type="spellStart"/>
      <w:r w:rsidR="005B3576" w:rsidRPr="00F730A5">
        <w:rPr>
          <w:color w:val="000000"/>
        </w:rPr>
        <w:t>Gantung</w:t>
      </w:r>
      <w:proofErr w:type="spellEnd"/>
      <w:r w:rsidR="001F4D2B" w:rsidRPr="00F730A5">
        <w:rPr>
          <w:i/>
          <w:iCs/>
          <w:color w:val="000000"/>
        </w:rPr>
        <w:t xml:space="preserve"> </w:t>
      </w:r>
      <w:r w:rsidRPr="00623479">
        <w:rPr>
          <w:color w:val="000000"/>
        </w:rPr>
        <w:t xml:space="preserve">would be. Three days later, </w:t>
      </w:r>
      <w:proofErr w:type="spellStart"/>
      <w:r w:rsidRPr="00623479">
        <w:rPr>
          <w:color w:val="000000"/>
        </w:rPr>
        <w:t>Mbok</w:t>
      </w:r>
      <w:proofErr w:type="spellEnd"/>
      <w:r w:rsidRPr="00623479">
        <w:rPr>
          <w:color w:val="000000"/>
        </w:rPr>
        <w:t xml:space="preserve"> Karyo's neighbor, Supardi, hanged himself in the yard of Jono's house, the person who had cheated him. Supardi's house was west of </w:t>
      </w:r>
      <w:proofErr w:type="spellStart"/>
      <w:r w:rsidRPr="00623479">
        <w:rPr>
          <w:color w:val="000000"/>
        </w:rPr>
        <w:t>Mbok</w:t>
      </w:r>
      <w:proofErr w:type="spellEnd"/>
      <w:r w:rsidRPr="00623479">
        <w:rPr>
          <w:color w:val="000000"/>
        </w:rPr>
        <w:t xml:space="preserve"> Karyo's house. </w:t>
      </w:r>
    </w:p>
    <w:p w14:paraId="732FAE29" w14:textId="5BF04BAB" w:rsidR="00623479" w:rsidRPr="00623479" w:rsidRDefault="00623479" w:rsidP="00623479">
      <w:pPr>
        <w:ind w:firstLine="720"/>
        <w:jc w:val="both"/>
        <w:rPr>
          <w:color w:val="000000"/>
        </w:rPr>
      </w:pPr>
      <w:r w:rsidRPr="00623479">
        <w:rPr>
          <w:color w:val="000000"/>
        </w:rPr>
        <w:t xml:space="preserve">Another story occurred in 1996 in </w:t>
      </w:r>
      <w:proofErr w:type="spellStart"/>
      <w:r w:rsidRPr="00623479">
        <w:rPr>
          <w:color w:val="000000"/>
        </w:rPr>
        <w:t>Serang</w:t>
      </w:r>
      <w:proofErr w:type="spellEnd"/>
      <w:r w:rsidRPr="00623479">
        <w:rPr>
          <w:color w:val="000000"/>
        </w:rPr>
        <w:t xml:space="preserve"> Sabin Hamlet, </w:t>
      </w:r>
      <w:proofErr w:type="spellStart"/>
      <w:r w:rsidRPr="00623479">
        <w:rPr>
          <w:color w:val="000000"/>
        </w:rPr>
        <w:t>Saptosari</w:t>
      </w:r>
      <w:proofErr w:type="spellEnd"/>
      <w:r w:rsidRPr="00623479">
        <w:rPr>
          <w:color w:val="000000"/>
        </w:rPr>
        <w:t xml:space="preserve"> District. Several residents saw a red light like a rope in Pak Karyo's yard. Shortly thereafter, Pak Karyo attempted suicide but was saved by his son-in-law. During the rescue, the light moved from Pak Karyo's yard to the yard of another resident named </w:t>
      </w:r>
      <w:proofErr w:type="spellStart"/>
      <w:r w:rsidRPr="00623479">
        <w:rPr>
          <w:color w:val="000000"/>
        </w:rPr>
        <w:t>Ngatilah</w:t>
      </w:r>
      <w:proofErr w:type="spellEnd"/>
      <w:r w:rsidRPr="00623479">
        <w:rPr>
          <w:color w:val="000000"/>
        </w:rPr>
        <w:t xml:space="preserve">. A few days after the incident, </w:t>
      </w:r>
      <w:proofErr w:type="spellStart"/>
      <w:r w:rsidRPr="00623479">
        <w:rPr>
          <w:color w:val="000000"/>
        </w:rPr>
        <w:t>Ngatilah</w:t>
      </w:r>
      <w:proofErr w:type="spellEnd"/>
      <w:r w:rsidRPr="00623479">
        <w:rPr>
          <w:color w:val="000000"/>
        </w:rPr>
        <w:t xml:space="preserve"> was found hanging in the garden. The residents believed that </w:t>
      </w:r>
      <w:proofErr w:type="spellStart"/>
      <w:r w:rsidRPr="00623479">
        <w:rPr>
          <w:color w:val="000000"/>
        </w:rPr>
        <w:t>Ngatilah's</w:t>
      </w:r>
      <w:proofErr w:type="spellEnd"/>
      <w:r w:rsidRPr="00623479">
        <w:rPr>
          <w:color w:val="000000"/>
        </w:rPr>
        <w:t xml:space="preserve"> death was caused by the </w:t>
      </w:r>
      <w:proofErr w:type="spellStart"/>
      <w:r w:rsidR="005B3576" w:rsidRPr="00F730A5">
        <w:rPr>
          <w:color w:val="000000"/>
        </w:rPr>
        <w:t>Pulung</w:t>
      </w:r>
      <w:proofErr w:type="spellEnd"/>
      <w:r w:rsidR="005B3576" w:rsidRPr="00F730A5">
        <w:rPr>
          <w:color w:val="000000"/>
        </w:rPr>
        <w:t xml:space="preserve"> </w:t>
      </w:r>
      <w:proofErr w:type="spellStart"/>
      <w:r w:rsidR="005B3576" w:rsidRPr="00F730A5">
        <w:rPr>
          <w:color w:val="000000"/>
        </w:rPr>
        <w:t>Gantung</w:t>
      </w:r>
      <w:proofErr w:type="spellEnd"/>
      <w:r w:rsidRPr="00623479">
        <w:rPr>
          <w:i/>
          <w:iCs/>
          <w:color w:val="000000"/>
        </w:rPr>
        <w:t>,</w:t>
      </w:r>
      <w:r w:rsidRPr="00623479">
        <w:rPr>
          <w:color w:val="000000"/>
        </w:rPr>
        <w:t xml:space="preserve"> considering that </w:t>
      </w:r>
      <w:proofErr w:type="spellStart"/>
      <w:r w:rsidRPr="00623479">
        <w:rPr>
          <w:color w:val="000000"/>
        </w:rPr>
        <w:t>Ngatilah</w:t>
      </w:r>
      <w:proofErr w:type="spellEnd"/>
      <w:r w:rsidRPr="00623479">
        <w:rPr>
          <w:color w:val="000000"/>
        </w:rPr>
        <w:t xml:space="preserve"> had a fairly good economic life.</w:t>
      </w:r>
    </w:p>
    <w:p w14:paraId="07395050" w14:textId="4A402007" w:rsidR="00623479" w:rsidRPr="00F730A5" w:rsidRDefault="00623479" w:rsidP="00623479">
      <w:pPr>
        <w:ind w:firstLine="720"/>
        <w:jc w:val="both"/>
        <w:rPr>
          <w:color w:val="000000"/>
        </w:rPr>
      </w:pPr>
      <w:r w:rsidRPr="00623479">
        <w:rPr>
          <w:color w:val="000000"/>
        </w:rPr>
        <w:t xml:space="preserve">From the description above, the author found </w:t>
      </w:r>
      <w:r w:rsidRPr="00372F2C">
        <w:rPr>
          <w:color w:val="000000"/>
        </w:rPr>
        <w:t>obligatory intertextuality</w:t>
      </w:r>
      <w:r w:rsidRPr="00623479">
        <w:rPr>
          <w:color w:val="000000"/>
        </w:rPr>
        <w:t xml:space="preserve"> in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001F4D2B" w:rsidRPr="00F730A5">
        <w:rPr>
          <w:i/>
          <w:iCs/>
          <w:color w:val="000000"/>
        </w:rPr>
        <w:t xml:space="preserve"> </w:t>
      </w:r>
      <w:r w:rsidRPr="00623479">
        <w:rPr>
          <w:color w:val="000000"/>
        </w:rPr>
        <w:t xml:space="preserve">with the book </w:t>
      </w:r>
      <w:proofErr w:type="spellStart"/>
      <w:r w:rsidR="005B3576" w:rsidRPr="00602C87">
        <w:rPr>
          <w:i/>
          <w:iCs/>
          <w:color w:val="000000"/>
        </w:rPr>
        <w:t>Pulung</w:t>
      </w:r>
      <w:proofErr w:type="spellEnd"/>
      <w:r w:rsidR="005B3576" w:rsidRPr="00602C87">
        <w:rPr>
          <w:i/>
          <w:iCs/>
          <w:color w:val="000000"/>
        </w:rPr>
        <w:t xml:space="preserve"> </w:t>
      </w:r>
      <w:proofErr w:type="spellStart"/>
      <w:r w:rsidR="005B3576" w:rsidRPr="00602C87">
        <w:rPr>
          <w:i/>
          <w:iCs/>
          <w:color w:val="000000"/>
        </w:rPr>
        <w:t>Gantung</w:t>
      </w:r>
      <w:proofErr w:type="spellEnd"/>
      <w:r w:rsidRPr="00623479">
        <w:rPr>
          <w:color w:val="000000"/>
        </w:rPr>
        <w:t xml:space="preserve">. This is reflected in the sequence of events of the appearance of the </w:t>
      </w:r>
      <w:proofErr w:type="spellStart"/>
      <w:r w:rsidR="005B3576" w:rsidRPr="00F730A5">
        <w:rPr>
          <w:color w:val="000000"/>
        </w:rPr>
        <w:t>Pulung</w:t>
      </w:r>
      <w:proofErr w:type="spellEnd"/>
      <w:r w:rsidR="005B3576" w:rsidRPr="00F730A5">
        <w:rPr>
          <w:color w:val="000000"/>
        </w:rPr>
        <w:t xml:space="preserve"> </w:t>
      </w:r>
      <w:proofErr w:type="spellStart"/>
      <w:r w:rsidR="005B3576" w:rsidRPr="00F730A5">
        <w:rPr>
          <w:color w:val="000000"/>
        </w:rPr>
        <w:t>Gantung</w:t>
      </w:r>
      <w:proofErr w:type="spellEnd"/>
      <w:r w:rsidR="001F4D2B" w:rsidRPr="00F730A5">
        <w:rPr>
          <w:i/>
          <w:iCs/>
          <w:color w:val="000000"/>
        </w:rPr>
        <w:t xml:space="preserve"> </w:t>
      </w:r>
      <w:r w:rsidRPr="00623479">
        <w:rPr>
          <w:color w:val="000000"/>
        </w:rPr>
        <w:t xml:space="preserve">followed by this suicide tragedy. This connection is clearly seen in the opening scene of the film, which is similar to </w:t>
      </w:r>
      <w:proofErr w:type="spellStart"/>
      <w:r w:rsidRPr="00623479">
        <w:rPr>
          <w:color w:val="000000"/>
        </w:rPr>
        <w:t>Darmaningtyas</w:t>
      </w:r>
      <w:proofErr w:type="spellEnd"/>
      <w:r w:rsidRPr="00623479">
        <w:rPr>
          <w:color w:val="000000"/>
        </w:rPr>
        <w:t xml:space="preserve">' interview with </w:t>
      </w:r>
      <w:r w:rsidRPr="00A73E55">
        <w:rPr>
          <w:color w:val="000000"/>
        </w:rPr>
        <w:t>eyewitnesses. The mise-</w:t>
      </w:r>
      <w:proofErr w:type="spellStart"/>
      <w:r w:rsidRPr="00A73E55">
        <w:rPr>
          <w:color w:val="000000"/>
        </w:rPr>
        <w:t>en</w:t>
      </w:r>
      <w:proofErr w:type="spellEnd"/>
      <w:r w:rsidRPr="00A73E55">
        <w:rPr>
          <w:color w:val="000000"/>
        </w:rPr>
        <w:t>-scene</w:t>
      </w:r>
      <w:r w:rsidRPr="00623479">
        <w:rPr>
          <w:color w:val="000000"/>
        </w:rPr>
        <w:t xml:space="preserve"> elements of the film's setting are clearly depicted with the </w:t>
      </w:r>
      <w:proofErr w:type="spellStart"/>
      <w:r w:rsidR="005B3576" w:rsidRPr="00F730A5">
        <w:rPr>
          <w:color w:val="000000"/>
        </w:rPr>
        <w:t>Pulung</w:t>
      </w:r>
      <w:proofErr w:type="spellEnd"/>
      <w:r w:rsidR="005B3576" w:rsidRPr="00F730A5">
        <w:rPr>
          <w:color w:val="000000"/>
        </w:rPr>
        <w:t xml:space="preserve"> </w:t>
      </w:r>
      <w:proofErr w:type="spellStart"/>
      <w:r w:rsidR="005B3576" w:rsidRPr="00F730A5">
        <w:rPr>
          <w:color w:val="000000"/>
        </w:rPr>
        <w:t>Gantung</w:t>
      </w:r>
      <w:proofErr w:type="spellEnd"/>
      <w:r w:rsidR="001F4D2B" w:rsidRPr="00F730A5">
        <w:rPr>
          <w:i/>
          <w:iCs/>
          <w:color w:val="000000"/>
        </w:rPr>
        <w:t xml:space="preserve"> </w:t>
      </w:r>
      <w:r w:rsidRPr="00623479">
        <w:rPr>
          <w:color w:val="000000"/>
        </w:rPr>
        <w:t xml:space="preserve">visible in the sky above the </w:t>
      </w:r>
      <w:proofErr w:type="spellStart"/>
      <w:r w:rsidRPr="00623479">
        <w:rPr>
          <w:color w:val="000000"/>
        </w:rPr>
        <w:t>Gunungkidul</w:t>
      </w:r>
      <w:proofErr w:type="spellEnd"/>
      <w:r w:rsidRPr="00623479">
        <w:rPr>
          <w:color w:val="000000"/>
        </w:rPr>
        <w:t xml:space="preserve"> region with its dry and barren rice fields and a hut in the middle of the field. The </w:t>
      </w:r>
      <w:proofErr w:type="spellStart"/>
      <w:r w:rsidR="005B3576" w:rsidRPr="00F730A5">
        <w:rPr>
          <w:color w:val="000000"/>
        </w:rPr>
        <w:t>Pulung</w:t>
      </w:r>
      <w:proofErr w:type="spellEnd"/>
      <w:r w:rsidR="005B3576" w:rsidRPr="00F730A5">
        <w:rPr>
          <w:color w:val="000000"/>
        </w:rPr>
        <w:t xml:space="preserve"> </w:t>
      </w:r>
      <w:proofErr w:type="spellStart"/>
      <w:r w:rsidR="005B3576" w:rsidRPr="00F730A5">
        <w:rPr>
          <w:color w:val="000000"/>
        </w:rPr>
        <w:t>Gantung</w:t>
      </w:r>
      <w:proofErr w:type="spellEnd"/>
      <w:r w:rsidR="001F4D2B" w:rsidRPr="00F730A5">
        <w:rPr>
          <w:i/>
          <w:iCs/>
          <w:color w:val="000000"/>
        </w:rPr>
        <w:t xml:space="preserve"> </w:t>
      </w:r>
      <w:r w:rsidRPr="00623479">
        <w:rPr>
          <w:color w:val="000000"/>
        </w:rPr>
        <w:t>in the film was created with special effects editing by VFX artist</w:t>
      </w:r>
      <w:r w:rsidR="00FA06D0">
        <w:rPr>
          <w:color w:val="000000"/>
        </w:rPr>
        <w:t xml:space="preserve">, </w:t>
      </w:r>
      <w:proofErr w:type="spellStart"/>
      <w:r w:rsidRPr="00623479">
        <w:rPr>
          <w:color w:val="000000"/>
        </w:rPr>
        <w:t>Naradhipa</w:t>
      </w:r>
      <w:proofErr w:type="spellEnd"/>
      <w:r w:rsidRPr="00623479">
        <w:rPr>
          <w:color w:val="000000"/>
        </w:rPr>
        <w:t>.</w:t>
      </w:r>
    </w:p>
    <w:p w14:paraId="5499D684" w14:textId="77777777" w:rsidR="00372F2C" w:rsidRDefault="00372F2C" w:rsidP="00EC240B">
      <w:pPr>
        <w:jc w:val="both"/>
        <w:rPr>
          <w:color w:val="000000"/>
        </w:rPr>
      </w:pPr>
    </w:p>
    <w:p w14:paraId="6BCE474A" w14:textId="5746DD04" w:rsidR="00EC240B" w:rsidRPr="00EC240B" w:rsidRDefault="00EC240B" w:rsidP="00EC240B">
      <w:pPr>
        <w:jc w:val="both"/>
        <w:rPr>
          <w:b/>
          <w:bCs/>
          <w:color w:val="000000"/>
        </w:rPr>
      </w:pPr>
      <w:r w:rsidRPr="00EC240B">
        <w:rPr>
          <w:b/>
          <w:bCs/>
          <w:color w:val="000000"/>
        </w:rPr>
        <w:t xml:space="preserve">The </w:t>
      </w:r>
      <w:r w:rsidR="00F730A5" w:rsidRPr="00F730A5">
        <w:rPr>
          <w:b/>
          <w:bCs/>
          <w:color w:val="000000"/>
        </w:rPr>
        <w:t xml:space="preserve">Issue </w:t>
      </w:r>
      <w:r w:rsidRPr="00EC240B">
        <w:rPr>
          <w:b/>
          <w:bCs/>
          <w:color w:val="000000"/>
        </w:rPr>
        <w:t xml:space="preserve">of </w:t>
      </w:r>
      <w:r w:rsidR="00F730A5" w:rsidRPr="00F730A5">
        <w:rPr>
          <w:b/>
          <w:bCs/>
          <w:color w:val="000000"/>
        </w:rPr>
        <w:t>Poverty</w:t>
      </w:r>
    </w:p>
    <w:p w14:paraId="6391CE9A" w14:textId="248B4631" w:rsidR="00EC240B" w:rsidRPr="00EC240B" w:rsidRDefault="00EC240B" w:rsidP="00EC240B">
      <w:pPr>
        <w:ind w:firstLine="720"/>
        <w:jc w:val="both"/>
        <w:rPr>
          <w:color w:val="000000"/>
        </w:rPr>
      </w:pPr>
      <w:r w:rsidRPr="00EC240B">
        <w:rPr>
          <w:color w:val="000000"/>
        </w:rPr>
        <w:t xml:space="preserve">In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i/>
          <w:iCs/>
          <w:color w:val="000000"/>
        </w:rPr>
        <w:t>,</w:t>
      </w:r>
      <w:r w:rsidRPr="00EC240B">
        <w:rPr>
          <w:color w:val="000000"/>
        </w:rPr>
        <w:t xml:space="preserve"> the director highlights the conflict between the main character, Agus, and his family, who are under economic pressure. The scene where Ningsih (Agus's daughter) suffers from chronic seizures but does not receive medical treatment is the main cause of Agus and Marni, his wife, becoming increasingly mentally depressed and feeling like they have failed as parents. Marni's sadness turns into desperation when she asks Agus to have a shaman they trust transfer Ningsih's illness to her. This is evident in Marni's dialogue with Agus:</w:t>
      </w:r>
    </w:p>
    <w:p w14:paraId="6BAFD95D" w14:textId="77777777" w:rsidR="00EC240B" w:rsidRPr="00EC240B" w:rsidRDefault="00EC240B" w:rsidP="00EC240B">
      <w:pPr>
        <w:ind w:left="567"/>
        <w:jc w:val="both"/>
        <w:rPr>
          <w:color w:val="000000"/>
        </w:rPr>
      </w:pPr>
      <w:r w:rsidRPr="00EC240B">
        <w:rPr>
          <w:i/>
          <w:iCs/>
          <w:color w:val="000000"/>
        </w:rPr>
        <w:t>“</w:t>
      </w:r>
      <w:proofErr w:type="spellStart"/>
      <w:r w:rsidRPr="00EC240B">
        <w:rPr>
          <w:i/>
          <w:iCs/>
          <w:color w:val="000000"/>
        </w:rPr>
        <w:t>Pindahen</w:t>
      </w:r>
      <w:proofErr w:type="spellEnd"/>
      <w:r w:rsidRPr="00EC240B">
        <w:rPr>
          <w:i/>
          <w:iCs/>
          <w:color w:val="000000"/>
        </w:rPr>
        <w:t xml:space="preserve"> </w:t>
      </w:r>
      <w:proofErr w:type="spellStart"/>
      <w:r w:rsidRPr="00EC240B">
        <w:rPr>
          <w:i/>
          <w:iCs/>
          <w:color w:val="000000"/>
        </w:rPr>
        <w:t>larane</w:t>
      </w:r>
      <w:proofErr w:type="spellEnd"/>
      <w:r w:rsidRPr="00EC240B">
        <w:rPr>
          <w:i/>
          <w:iCs/>
          <w:color w:val="000000"/>
        </w:rPr>
        <w:t xml:space="preserve"> </w:t>
      </w:r>
      <w:proofErr w:type="spellStart"/>
      <w:r w:rsidRPr="00EC240B">
        <w:rPr>
          <w:i/>
          <w:iCs/>
          <w:color w:val="000000"/>
        </w:rPr>
        <w:t>ning</w:t>
      </w:r>
      <w:proofErr w:type="spellEnd"/>
      <w:r w:rsidRPr="00EC240B">
        <w:rPr>
          <w:i/>
          <w:iCs/>
          <w:color w:val="000000"/>
        </w:rPr>
        <w:t xml:space="preserve"> aku. Aku </w:t>
      </w:r>
      <w:proofErr w:type="spellStart"/>
      <w:r w:rsidRPr="00EC240B">
        <w:rPr>
          <w:i/>
          <w:iCs/>
          <w:color w:val="000000"/>
        </w:rPr>
        <w:t>ikhlas</w:t>
      </w:r>
      <w:proofErr w:type="spellEnd"/>
      <w:r w:rsidRPr="00EC240B">
        <w:rPr>
          <w:i/>
          <w:iCs/>
          <w:color w:val="000000"/>
        </w:rPr>
        <w:t>.”</w:t>
      </w:r>
      <w:r w:rsidRPr="00EC240B">
        <w:rPr>
          <w:color w:val="000000"/>
        </w:rPr>
        <w:t xml:space="preserve"> </w:t>
      </w:r>
    </w:p>
    <w:p w14:paraId="5432A272" w14:textId="30BD2A43" w:rsidR="00EC240B" w:rsidRPr="00EC240B" w:rsidRDefault="00EC240B" w:rsidP="00EC240B">
      <w:pPr>
        <w:ind w:left="567"/>
        <w:jc w:val="both"/>
        <w:rPr>
          <w:color w:val="000000"/>
        </w:rPr>
      </w:pPr>
      <w:r w:rsidRPr="00EC240B">
        <w:rPr>
          <w:color w:val="000000"/>
        </w:rPr>
        <w:t>(Transfer Ningsih's illness to me. I accept it).</w:t>
      </w:r>
    </w:p>
    <w:p w14:paraId="665E5562" w14:textId="77777777" w:rsidR="00EC240B" w:rsidRPr="00623479" w:rsidRDefault="00EC240B" w:rsidP="00623479">
      <w:pPr>
        <w:ind w:firstLine="720"/>
        <w:jc w:val="both"/>
        <w:rPr>
          <w:color w:val="000000"/>
        </w:rPr>
      </w:pPr>
    </w:p>
    <w:p w14:paraId="5EF82DEB" w14:textId="16F9A63B" w:rsidR="00623479" w:rsidRPr="00F730A5" w:rsidRDefault="00EC240B" w:rsidP="00EC240B">
      <w:pPr>
        <w:jc w:val="center"/>
        <w:rPr>
          <w:color w:val="000000"/>
        </w:rPr>
      </w:pPr>
      <w:r w:rsidRPr="00F730A5">
        <w:rPr>
          <w:noProof/>
          <w:lang w:eastAsia="en-US"/>
        </w:rPr>
        <w:drawing>
          <wp:inline distT="114300" distB="114300" distL="114300" distR="114300" wp14:anchorId="026AF457" wp14:editId="5C2C507C">
            <wp:extent cx="3024188" cy="164096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3024188" cy="1640965"/>
                    </a:xfrm>
                    <a:prstGeom prst="rect">
                      <a:avLst/>
                    </a:prstGeom>
                    <a:ln/>
                  </pic:spPr>
                </pic:pic>
              </a:graphicData>
            </a:graphic>
          </wp:inline>
        </w:drawing>
      </w:r>
    </w:p>
    <w:p w14:paraId="51506D30" w14:textId="44F1E47F" w:rsidR="00EC240B" w:rsidRPr="00F730A5" w:rsidRDefault="00EC240B" w:rsidP="00EC240B">
      <w:pPr>
        <w:jc w:val="center"/>
        <w:rPr>
          <w:color w:val="000000"/>
        </w:rPr>
      </w:pPr>
      <w:r w:rsidRPr="00F730A5">
        <w:rPr>
          <w:b/>
          <w:bCs/>
          <w:color w:val="000000"/>
        </w:rPr>
        <w:t>Figure 2</w:t>
      </w:r>
      <w:r w:rsidR="00F730A5" w:rsidRPr="00F730A5">
        <w:rPr>
          <w:b/>
          <w:bCs/>
          <w:color w:val="000000"/>
        </w:rPr>
        <w:t>.</w:t>
      </w:r>
      <w:r w:rsidRPr="00F730A5">
        <w:rPr>
          <w:color w:val="000000"/>
        </w:rPr>
        <w:t xml:space="preserve"> Marni asks Agus to have the shaman transfer Ningsih's illness to Marni.</w:t>
      </w:r>
    </w:p>
    <w:p w14:paraId="39701BCC" w14:textId="77777777" w:rsidR="00EC240B" w:rsidRPr="00F730A5" w:rsidRDefault="00EC240B" w:rsidP="00EC240B">
      <w:pPr>
        <w:ind w:firstLine="720"/>
        <w:jc w:val="both"/>
        <w:rPr>
          <w:b/>
          <w:bCs/>
          <w:color w:val="000000"/>
        </w:rPr>
      </w:pPr>
    </w:p>
    <w:p w14:paraId="681653CC" w14:textId="07D60AFC" w:rsidR="00EC240B" w:rsidRPr="00EC240B" w:rsidRDefault="00EC240B" w:rsidP="00EC240B">
      <w:pPr>
        <w:ind w:firstLine="720"/>
        <w:jc w:val="both"/>
        <w:rPr>
          <w:color w:val="000000"/>
        </w:rPr>
      </w:pPr>
      <w:r w:rsidRPr="00EC240B">
        <w:rPr>
          <w:color w:val="000000"/>
        </w:rPr>
        <w:t>The climax comes when Marni intends to hang herself and sacrifice herself as the seventh victim Agus is looking for. Marni begs her husband to kill her so that Ningsih can be cured of her illness. This is evident from Marni's dialogue with Agus:</w:t>
      </w:r>
    </w:p>
    <w:p w14:paraId="3B99B15F" w14:textId="22559255" w:rsidR="00EC240B" w:rsidRPr="00EC240B" w:rsidRDefault="00EC240B" w:rsidP="00EC240B">
      <w:pPr>
        <w:ind w:left="567"/>
        <w:jc w:val="both"/>
        <w:rPr>
          <w:color w:val="000000"/>
        </w:rPr>
      </w:pPr>
      <w:r w:rsidRPr="00EC240B">
        <w:rPr>
          <w:i/>
          <w:iCs/>
          <w:color w:val="000000"/>
        </w:rPr>
        <w:t>"</w:t>
      </w:r>
      <w:r w:rsidR="00F730A5" w:rsidRPr="00F730A5">
        <w:t xml:space="preserve"> </w:t>
      </w:r>
      <w:r w:rsidR="00F730A5" w:rsidRPr="00F730A5">
        <w:rPr>
          <w:i/>
          <w:iCs/>
          <w:color w:val="000000"/>
        </w:rPr>
        <w:t xml:space="preserve">Aku wis </w:t>
      </w:r>
      <w:proofErr w:type="spellStart"/>
      <w:r w:rsidR="00F730A5" w:rsidRPr="00F730A5">
        <w:rPr>
          <w:i/>
          <w:iCs/>
          <w:color w:val="000000"/>
        </w:rPr>
        <w:t>ora</w:t>
      </w:r>
      <w:proofErr w:type="spellEnd"/>
      <w:r w:rsidR="00F730A5" w:rsidRPr="00F730A5">
        <w:rPr>
          <w:i/>
          <w:iCs/>
          <w:color w:val="000000"/>
        </w:rPr>
        <w:t xml:space="preserve"> </w:t>
      </w:r>
      <w:proofErr w:type="spellStart"/>
      <w:r w:rsidR="00F730A5" w:rsidRPr="00F730A5">
        <w:rPr>
          <w:i/>
          <w:iCs/>
          <w:color w:val="000000"/>
        </w:rPr>
        <w:t>kuat</w:t>
      </w:r>
      <w:proofErr w:type="spellEnd"/>
      <w:r w:rsidR="00F730A5" w:rsidRPr="00F730A5">
        <w:rPr>
          <w:i/>
          <w:iCs/>
          <w:color w:val="000000"/>
        </w:rPr>
        <w:t xml:space="preserve">, mas. </w:t>
      </w:r>
      <w:proofErr w:type="spellStart"/>
      <w:r w:rsidR="00F730A5" w:rsidRPr="00F730A5">
        <w:rPr>
          <w:i/>
          <w:iCs/>
          <w:color w:val="000000"/>
        </w:rPr>
        <w:t>Mateni</w:t>
      </w:r>
      <w:proofErr w:type="spellEnd"/>
      <w:r w:rsidR="00F730A5" w:rsidRPr="00F730A5">
        <w:rPr>
          <w:i/>
          <w:iCs/>
          <w:color w:val="000000"/>
        </w:rPr>
        <w:t xml:space="preserve"> aku, mas! Aku kudu </w:t>
      </w:r>
      <w:proofErr w:type="spellStart"/>
      <w:r w:rsidR="00F730A5" w:rsidRPr="00F730A5">
        <w:rPr>
          <w:i/>
          <w:iCs/>
          <w:color w:val="000000"/>
        </w:rPr>
        <w:t>kepiye</w:t>
      </w:r>
      <w:proofErr w:type="spellEnd"/>
      <w:r w:rsidR="00F730A5" w:rsidRPr="00F730A5">
        <w:rPr>
          <w:i/>
          <w:iCs/>
          <w:color w:val="000000"/>
        </w:rPr>
        <w:t xml:space="preserve"> </w:t>
      </w:r>
      <w:proofErr w:type="spellStart"/>
      <w:r w:rsidR="00F730A5" w:rsidRPr="00F730A5">
        <w:rPr>
          <w:i/>
          <w:iCs/>
          <w:color w:val="000000"/>
        </w:rPr>
        <w:t>meneh</w:t>
      </w:r>
      <w:proofErr w:type="spellEnd"/>
      <w:r w:rsidR="00F730A5" w:rsidRPr="00F730A5">
        <w:rPr>
          <w:i/>
          <w:iCs/>
          <w:color w:val="000000"/>
        </w:rPr>
        <w:t xml:space="preserve">, mas?! </w:t>
      </w:r>
      <w:proofErr w:type="spellStart"/>
      <w:r w:rsidR="00F730A5" w:rsidRPr="00F730A5">
        <w:rPr>
          <w:i/>
          <w:iCs/>
          <w:color w:val="000000"/>
        </w:rPr>
        <w:t>Kowe</w:t>
      </w:r>
      <w:proofErr w:type="spellEnd"/>
      <w:r w:rsidR="00F730A5" w:rsidRPr="00F730A5">
        <w:rPr>
          <w:i/>
          <w:iCs/>
          <w:color w:val="000000"/>
        </w:rPr>
        <w:t xml:space="preserve"> </w:t>
      </w:r>
      <w:proofErr w:type="spellStart"/>
      <w:r w:rsidR="00F730A5" w:rsidRPr="00F730A5">
        <w:rPr>
          <w:i/>
          <w:iCs/>
          <w:color w:val="000000"/>
        </w:rPr>
        <w:t>ojo</w:t>
      </w:r>
      <w:proofErr w:type="spellEnd"/>
      <w:r w:rsidR="00F730A5" w:rsidRPr="00F730A5">
        <w:rPr>
          <w:i/>
          <w:iCs/>
          <w:color w:val="000000"/>
        </w:rPr>
        <w:t xml:space="preserve"> </w:t>
      </w:r>
      <w:proofErr w:type="spellStart"/>
      <w:r w:rsidR="00F730A5" w:rsidRPr="00F730A5">
        <w:rPr>
          <w:i/>
          <w:iCs/>
          <w:color w:val="000000"/>
        </w:rPr>
        <w:t>pateni</w:t>
      </w:r>
      <w:proofErr w:type="spellEnd"/>
      <w:r w:rsidR="00F730A5" w:rsidRPr="00F730A5">
        <w:rPr>
          <w:i/>
          <w:iCs/>
          <w:color w:val="000000"/>
        </w:rPr>
        <w:t xml:space="preserve"> </w:t>
      </w:r>
      <w:proofErr w:type="spellStart"/>
      <w:r w:rsidR="00F730A5" w:rsidRPr="00F730A5">
        <w:rPr>
          <w:i/>
          <w:iCs/>
          <w:color w:val="000000"/>
        </w:rPr>
        <w:t>meneh</w:t>
      </w:r>
      <w:proofErr w:type="spellEnd"/>
      <w:r w:rsidR="00F730A5" w:rsidRPr="00F730A5">
        <w:rPr>
          <w:i/>
          <w:iCs/>
          <w:color w:val="000000"/>
        </w:rPr>
        <w:t xml:space="preserve"> </w:t>
      </w:r>
      <w:proofErr w:type="spellStart"/>
      <w:r w:rsidR="00F730A5" w:rsidRPr="00F730A5">
        <w:rPr>
          <w:i/>
          <w:iCs/>
          <w:color w:val="000000"/>
        </w:rPr>
        <w:t>wong</w:t>
      </w:r>
      <w:proofErr w:type="spellEnd"/>
      <w:r w:rsidR="00F730A5" w:rsidRPr="00F730A5">
        <w:rPr>
          <w:i/>
          <w:iCs/>
          <w:color w:val="000000"/>
        </w:rPr>
        <w:t xml:space="preserve">, mas! Aku mung </w:t>
      </w:r>
      <w:proofErr w:type="spellStart"/>
      <w:r w:rsidR="00F730A5" w:rsidRPr="00F730A5">
        <w:rPr>
          <w:i/>
          <w:iCs/>
          <w:color w:val="000000"/>
        </w:rPr>
        <w:t>mati</w:t>
      </w:r>
      <w:proofErr w:type="spellEnd"/>
      <w:r w:rsidR="00F730A5" w:rsidRPr="00F730A5">
        <w:rPr>
          <w:i/>
          <w:iCs/>
          <w:color w:val="000000"/>
        </w:rPr>
        <w:t xml:space="preserve"> </w:t>
      </w:r>
      <w:proofErr w:type="spellStart"/>
      <w:r w:rsidR="00F730A5" w:rsidRPr="00F730A5">
        <w:rPr>
          <w:i/>
          <w:iCs/>
          <w:color w:val="000000"/>
        </w:rPr>
        <w:t>kanggo</w:t>
      </w:r>
      <w:proofErr w:type="spellEnd"/>
      <w:r w:rsidR="00F730A5" w:rsidRPr="00F730A5">
        <w:rPr>
          <w:i/>
          <w:iCs/>
          <w:color w:val="000000"/>
        </w:rPr>
        <w:t xml:space="preserve"> </w:t>
      </w:r>
      <w:proofErr w:type="gramStart"/>
      <w:r w:rsidR="00F730A5" w:rsidRPr="00F730A5">
        <w:rPr>
          <w:i/>
          <w:iCs/>
          <w:color w:val="000000"/>
        </w:rPr>
        <w:t>Ningsih</w:t>
      </w:r>
      <w:r w:rsidRPr="00EC240B">
        <w:rPr>
          <w:i/>
          <w:iCs/>
          <w:color w:val="000000"/>
        </w:rPr>
        <w:t>!“</w:t>
      </w:r>
      <w:proofErr w:type="gramEnd"/>
    </w:p>
    <w:p w14:paraId="12365172" w14:textId="6398A88C" w:rsidR="00EC240B" w:rsidRPr="00EC240B" w:rsidRDefault="00EC240B" w:rsidP="00EC240B">
      <w:pPr>
        <w:ind w:left="567"/>
        <w:jc w:val="both"/>
        <w:rPr>
          <w:color w:val="000000"/>
        </w:rPr>
      </w:pPr>
      <w:r w:rsidRPr="00EC240B">
        <w:rPr>
          <w:color w:val="000000"/>
        </w:rPr>
        <w:t>(I can't take it anymore, sir. Kill me, sir! What else can I do, sir?! Don't kill anyone else, sir! Let me die for Ningsih!).</w:t>
      </w:r>
    </w:p>
    <w:p w14:paraId="48DF4447" w14:textId="77777777" w:rsidR="00EC240B" w:rsidRPr="00EC240B" w:rsidRDefault="00EC240B" w:rsidP="00EC240B">
      <w:pPr>
        <w:ind w:firstLine="720"/>
        <w:jc w:val="both"/>
        <w:rPr>
          <w:color w:val="000000"/>
        </w:rPr>
      </w:pPr>
    </w:p>
    <w:p w14:paraId="633B016A" w14:textId="16138A2C" w:rsidR="00EC240B" w:rsidRPr="00F730A5" w:rsidRDefault="00EC240B" w:rsidP="00EC240B">
      <w:pPr>
        <w:jc w:val="center"/>
        <w:rPr>
          <w:color w:val="000000"/>
        </w:rPr>
      </w:pPr>
      <w:r w:rsidRPr="00F730A5">
        <w:rPr>
          <w:noProof/>
          <w:lang w:eastAsia="en-US"/>
        </w:rPr>
        <w:drawing>
          <wp:inline distT="114300" distB="114300" distL="114300" distR="114300" wp14:anchorId="06A8818C" wp14:editId="097E8DE3">
            <wp:extent cx="2985326" cy="1420292"/>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2985326" cy="1420292"/>
                    </a:xfrm>
                    <a:prstGeom prst="rect">
                      <a:avLst/>
                    </a:prstGeom>
                    <a:ln/>
                  </pic:spPr>
                </pic:pic>
              </a:graphicData>
            </a:graphic>
          </wp:inline>
        </w:drawing>
      </w:r>
    </w:p>
    <w:p w14:paraId="6F714C44" w14:textId="5825909E" w:rsidR="00EC240B" w:rsidRPr="00F730A5" w:rsidRDefault="00EC240B" w:rsidP="00EC240B">
      <w:pPr>
        <w:jc w:val="center"/>
        <w:rPr>
          <w:color w:val="000000"/>
        </w:rPr>
      </w:pPr>
      <w:r w:rsidRPr="00F730A5">
        <w:rPr>
          <w:b/>
          <w:bCs/>
          <w:color w:val="000000"/>
        </w:rPr>
        <w:t>Figure 3</w:t>
      </w:r>
      <w:r w:rsidR="00F730A5" w:rsidRPr="00F730A5">
        <w:rPr>
          <w:b/>
          <w:bCs/>
          <w:color w:val="000000"/>
        </w:rPr>
        <w:t xml:space="preserve">. </w:t>
      </w:r>
      <w:r w:rsidRPr="00F730A5">
        <w:rPr>
          <w:color w:val="000000"/>
        </w:rPr>
        <w:t>Marni asks Agus to kill her.</w:t>
      </w:r>
    </w:p>
    <w:p w14:paraId="7E23146E" w14:textId="77777777" w:rsidR="00EC240B" w:rsidRPr="00623479" w:rsidRDefault="00EC240B" w:rsidP="00EC240B">
      <w:pPr>
        <w:jc w:val="both"/>
        <w:rPr>
          <w:color w:val="000000"/>
        </w:rPr>
      </w:pPr>
    </w:p>
    <w:p w14:paraId="67B3F9E1" w14:textId="77777777" w:rsidR="00EC240B" w:rsidRPr="00EC240B" w:rsidRDefault="00EC240B" w:rsidP="00EC240B">
      <w:pPr>
        <w:ind w:firstLine="720"/>
        <w:jc w:val="both"/>
        <w:rPr>
          <w:color w:val="000000"/>
        </w:rPr>
      </w:pPr>
      <w:r w:rsidRPr="00EC240B">
        <w:rPr>
          <w:color w:val="000000"/>
        </w:rPr>
        <w:t xml:space="preserve">In the book </w:t>
      </w:r>
      <w:proofErr w:type="spellStart"/>
      <w:r w:rsidRPr="00EC240B">
        <w:rPr>
          <w:i/>
          <w:iCs/>
          <w:color w:val="000000"/>
        </w:rPr>
        <w:t>Pulung</w:t>
      </w:r>
      <w:proofErr w:type="spellEnd"/>
      <w:r w:rsidRPr="00EC240B">
        <w:rPr>
          <w:i/>
          <w:iCs/>
          <w:color w:val="000000"/>
        </w:rPr>
        <w:t xml:space="preserve"> </w:t>
      </w:r>
      <w:proofErr w:type="spellStart"/>
      <w:r w:rsidRPr="00EC240B">
        <w:rPr>
          <w:i/>
          <w:iCs/>
          <w:color w:val="000000"/>
        </w:rPr>
        <w:t>Gantung</w:t>
      </w:r>
      <w:proofErr w:type="spellEnd"/>
      <w:r w:rsidRPr="00EC240B">
        <w:rPr>
          <w:color w:val="000000"/>
        </w:rPr>
        <w:t xml:space="preserve">, </w:t>
      </w:r>
      <w:proofErr w:type="spellStart"/>
      <w:r w:rsidRPr="00EC240B">
        <w:rPr>
          <w:color w:val="000000"/>
        </w:rPr>
        <w:t>Darmaningtyas</w:t>
      </w:r>
      <w:proofErr w:type="spellEnd"/>
      <w:r w:rsidRPr="00EC240B">
        <w:rPr>
          <w:color w:val="000000"/>
        </w:rPr>
        <w:t xml:space="preserve"> tells the story of </w:t>
      </w:r>
      <w:proofErr w:type="spellStart"/>
      <w:r w:rsidRPr="00EC240B">
        <w:rPr>
          <w:color w:val="000000"/>
        </w:rPr>
        <w:t>Sukarto</w:t>
      </w:r>
      <w:proofErr w:type="spellEnd"/>
      <w:r w:rsidRPr="00EC240B">
        <w:rPr>
          <w:color w:val="000000"/>
        </w:rPr>
        <w:t xml:space="preserve">, a resident of Sekar Wangi Hamlet, </w:t>
      </w:r>
      <w:proofErr w:type="spellStart"/>
      <w:r w:rsidRPr="00EC240B">
        <w:rPr>
          <w:color w:val="000000"/>
        </w:rPr>
        <w:t>Wonosari</w:t>
      </w:r>
      <w:proofErr w:type="spellEnd"/>
      <w:r w:rsidRPr="00EC240B">
        <w:rPr>
          <w:color w:val="000000"/>
        </w:rPr>
        <w:t xml:space="preserve"> District, who chose to hang himself because his third child, </w:t>
      </w:r>
      <w:proofErr w:type="spellStart"/>
      <w:r w:rsidRPr="00EC240B">
        <w:rPr>
          <w:color w:val="000000"/>
        </w:rPr>
        <w:t>Yanto</w:t>
      </w:r>
      <w:proofErr w:type="spellEnd"/>
      <w:r w:rsidRPr="00EC240B">
        <w:rPr>
          <w:color w:val="000000"/>
        </w:rPr>
        <w:t xml:space="preserve">, suffered from incurable cancer and his fourth child had a mental disorder. </w:t>
      </w:r>
      <w:proofErr w:type="spellStart"/>
      <w:r w:rsidRPr="00EC240B">
        <w:rPr>
          <w:color w:val="000000"/>
        </w:rPr>
        <w:t>Sukarto</w:t>
      </w:r>
      <w:proofErr w:type="spellEnd"/>
      <w:r w:rsidRPr="00EC240B">
        <w:rPr>
          <w:color w:val="000000"/>
        </w:rPr>
        <w:t xml:space="preserve"> sold his land for the sake of his children's recovery, but his hopes were not realized. On July 27, 1991, </w:t>
      </w:r>
      <w:proofErr w:type="spellStart"/>
      <w:r w:rsidRPr="00EC240B">
        <w:rPr>
          <w:color w:val="000000"/>
        </w:rPr>
        <w:t>Sukarto</w:t>
      </w:r>
      <w:proofErr w:type="spellEnd"/>
      <w:r w:rsidRPr="00EC240B">
        <w:rPr>
          <w:color w:val="000000"/>
        </w:rPr>
        <w:t xml:space="preserve"> was found by his wife hanging in the corner of his house.</w:t>
      </w:r>
    </w:p>
    <w:p w14:paraId="741FB5B5" w14:textId="752508D5" w:rsidR="00DD3A79" w:rsidRDefault="00EC240B" w:rsidP="004674BA">
      <w:pPr>
        <w:ind w:firstLine="720"/>
        <w:jc w:val="both"/>
        <w:rPr>
          <w:color w:val="000000"/>
        </w:rPr>
      </w:pPr>
      <w:r w:rsidRPr="00EC240B">
        <w:rPr>
          <w:color w:val="000000"/>
        </w:rPr>
        <w:t xml:space="preserve">The author concludes that there is </w:t>
      </w:r>
      <w:r w:rsidRPr="00D56EF1">
        <w:rPr>
          <w:color w:val="000000"/>
        </w:rPr>
        <w:t>optional intertextuality</w:t>
      </w:r>
      <w:r w:rsidRPr="00EC240B">
        <w:rPr>
          <w:i/>
          <w:iCs/>
          <w:color w:val="000000"/>
        </w:rPr>
        <w:t xml:space="preserve"> </w:t>
      </w:r>
      <w:r w:rsidRPr="00EC240B">
        <w:rPr>
          <w:color w:val="000000"/>
        </w:rPr>
        <w:t xml:space="preserve">in both texts because of the similarity in the background of the suicides, namely having children who were sick and incurable, as well as economic pressure. However, the characters, such as the names and genders, in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i/>
          <w:iCs/>
          <w:color w:val="000000"/>
        </w:rPr>
        <w:t xml:space="preserve"> </w:t>
      </w:r>
      <w:r w:rsidRPr="00EC240B">
        <w:rPr>
          <w:color w:val="000000"/>
        </w:rPr>
        <w:t>are not the same as the suicide perpetrators described in the book</w:t>
      </w:r>
      <w:r w:rsidR="00F41CF7">
        <w:rPr>
          <w:color w:val="000000"/>
        </w:rPr>
        <w:t xml:space="preserve"> </w:t>
      </w:r>
      <w:r w:rsidR="00F41CF7">
        <w:fldChar w:fldCharType="begin" w:fldLock="1"/>
      </w:r>
      <w:r w:rsidR="009B40B5">
        <w:instrText>ADDIN CSL_CITATION {"citationItems":[{"id":"ITEM-1","itemData":{"author":[{"dropping-particle":"","family":"Kristeva","given":"Julia","non-dropping-particle":"","parse-names":false,"suffix":""}],"id":"ITEM-1","issued":{"date-parts":[["1980"]]},"publisher":"Columbia University Press","publisher-place":"Oakland","title":"Desire in Language: A Semiotics Approach to Language and Art","type":"book"},"uris":["http://www.mendeley.com/documents/?uuid=876a7d84-0f3c-4362-b27e-8845410ade6b","http://www.mendeley.com/documents/?uuid=1f571bf6-ed3e-4f55-be41-270731950e3c","http://www.mendeley.com/documents/?uuid=d151a467-fc4f-43aa-8824-5450a52491d8"]}],"mendeley":{"formattedCitation":"(Kristeva, 1980)","plainTextFormattedCitation":"(Kristeva, 1980)","previouslyFormattedCitation":"(Kristeva, 1980)"},"properties":{"noteIndex":0},"schema":"https://github.com/citation-style-language/schema/raw/master/csl-citation.json"}</w:instrText>
      </w:r>
      <w:r w:rsidR="00F41CF7">
        <w:fldChar w:fldCharType="separate"/>
      </w:r>
      <w:r w:rsidR="00F41CF7">
        <w:rPr>
          <w:noProof/>
        </w:rPr>
        <w:t>(Kristeva, 1980)</w:t>
      </w:r>
      <w:r w:rsidR="00F41CF7">
        <w:fldChar w:fldCharType="end"/>
      </w:r>
      <w:r w:rsidRPr="00EC240B">
        <w:rPr>
          <w:color w:val="000000"/>
        </w:rPr>
        <w:t xml:space="preserve">. In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Marni wants to commit suicide because she is desperate seeing Ningsih's suffering and Agus's difficulty in finding the seventh sacrifice.</w:t>
      </w:r>
      <w:r w:rsidR="004674BA">
        <w:rPr>
          <w:color w:val="000000"/>
        </w:rPr>
        <w:t xml:space="preserve"> </w:t>
      </w:r>
      <w:r w:rsidRPr="00EC240B">
        <w:rPr>
          <w:color w:val="000000"/>
        </w:rPr>
        <w:t xml:space="preserve">Meanwhile, in the book </w:t>
      </w:r>
      <w:proofErr w:type="spellStart"/>
      <w:r w:rsidRPr="00EC240B">
        <w:rPr>
          <w:i/>
          <w:iCs/>
          <w:color w:val="000000"/>
        </w:rPr>
        <w:t>Pulung</w:t>
      </w:r>
      <w:proofErr w:type="spellEnd"/>
      <w:r w:rsidRPr="00EC240B">
        <w:rPr>
          <w:i/>
          <w:iCs/>
          <w:color w:val="000000"/>
        </w:rPr>
        <w:t xml:space="preserve"> </w:t>
      </w:r>
      <w:proofErr w:type="spellStart"/>
      <w:r w:rsidRPr="00EC240B">
        <w:rPr>
          <w:i/>
          <w:iCs/>
          <w:color w:val="000000"/>
        </w:rPr>
        <w:t>Gantung</w:t>
      </w:r>
      <w:proofErr w:type="spellEnd"/>
      <w:r w:rsidRPr="00EC240B">
        <w:rPr>
          <w:color w:val="000000"/>
        </w:rPr>
        <w:t xml:space="preserve">, </w:t>
      </w:r>
      <w:proofErr w:type="spellStart"/>
      <w:r w:rsidRPr="00EC240B">
        <w:rPr>
          <w:color w:val="000000"/>
        </w:rPr>
        <w:t>Sukarto</w:t>
      </w:r>
      <w:proofErr w:type="spellEnd"/>
      <w:r w:rsidRPr="00EC240B">
        <w:rPr>
          <w:color w:val="000000"/>
        </w:rPr>
        <w:t xml:space="preserve"> has sold all of his rice fields until he is like a person who is insane and ends up hanging himself. </w:t>
      </w:r>
    </w:p>
    <w:p w14:paraId="6BD28C10" w14:textId="07542F96" w:rsidR="00514A81" w:rsidRDefault="00EC240B" w:rsidP="00514A81">
      <w:pPr>
        <w:ind w:firstLine="720"/>
        <w:jc w:val="both"/>
        <w:rPr>
          <w:color w:val="000000"/>
        </w:rPr>
      </w:pPr>
      <w:r w:rsidRPr="00EC240B">
        <w:rPr>
          <w:color w:val="000000"/>
        </w:rPr>
        <w:t xml:space="preserve">The issue of poverty is shown in the </w:t>
      </w:r>
      <w:r w:rsidR="00D56EF1" w:rsidRPr="00D56EF1">
        <w:rPr>
          <w:i/>
          <w:iCs/>
          <w:color w:val="000000"/>
        </w:rPr>
        <w:t>mise-</w:t>
      </w:r>
      <w:proofErr w:type="spellStart"/>
      <w:r w:rsidR="00D56EF1" w:rsidRPr="00D56EF1">
        <w:rPr>
          <w:i/>
          <w:iCs/>
          <w:color w:val="000000"/>
        </w:rPr>
        <w:t>en</w:t>
      </w:r>
      <w:proofErr w:type="spellEnd"/>
      <w:r w:rsidR="00D56EF1" w:rsidRPr="00D56EF1">
        <w:rPr>
          <w:i/>
          <w:iCs/>
          <w:color w:val="000000"/>
        </w:rPr>
        <w:t>-</w:t>
      </w:r>
      <w:proofErr w:type="spellStart"/>
      <w:r w:rsidR="00D56EF1" w:rsidRPr="00D56EF1">
        <w:rPr>
          <w:i/>
          <w:iCs/>
          <w:color w:val="000000"/>
        </w:rPr>
        <w:t>scène</w:t>
      </w:r>
      <w:proofErr w:type="spellEnd"/>
      <w:r w:rsidRPr="00EC240B">
        <w:rPr>
          <w:color w:val="000000"/>
        </w:rPr>
        <w:t xml:space="preserve"> of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xml:space="preserve"> in the elements of </w:t>
      </w:r>
      <w:r w:rsidRPr="00EC240B">
        <w:rPr>
          <w:i/>
          <w:iCs/>
          <w:color w:val="000000"/>
        </w:rPr>
        <w:t>setting</w:t>
      </w:r>
      <w:r w:rsidRPr="00EC240B">
        <w:rPr>
          <w:color w:val="000000"/>
        </w:rPr>
        <w:t xml:space="preserve">, </w:t>
      </w:r>
      <w:r w:rsidRPr="00EC240B">
        <w:rPr>
          <w:i/>
          <w:iCs/>
          <w:color w:val="000000"/>
        </w:rPr>
        <w:t>costume</w:t>
      </w:r>
      <w:r w:rsidRPr="00EC240B">
        <w:rPr>
          <w:color w:val="000000"/>
        </w:rPr>
        <w:t>, and makeup.</w:t>
      </w:r>
      <w:r w:rsidR="00DD3A79">
        <w:rPr>
          <w:color w:val="000000"/>
        </w:rPr>
        <w:t xml:space="preserve"> </w:t>
      </w:r>
      <w:r w:rsidRPr="00EC240B">
        <w:rPr>
          <w:color w:val="000000"/>
        </w:rPr>
        <w:t xml:space="preserve">In the </w:t>
      </w:r>
      <w:r w:rsidR="00D56EF1" w:rsidRPr="00D56EF1">
        <w:rPr>
          <w:i/>
          <w:iCs/>
          <w:color w:val="000000"/>
        </w:rPr>
        <w:t>mise-</w:t>
      </w:r>
      <w:proofErr w:type="spellStart"/>
      <w:r w:rsidR="00D56EF1" w:rsidRPr="00D56EF1">
        <w:rPr>
          <w:i/>
          <w:iCs/>
          <w:color w:val="000000"/>
        </w:rPr>
        <w:t>en</w:t>
      </w:r>
      <w:proofErr w:type="spellEnd"/>
      <w:r w:rsidR="00D56EF1" w:rsidRPr="00D56EF1">
        <w:rPr>
          <w:i/>
          <w:iCs/>
          <w:color w:val="000000"/>
        </w:rPr>
        <w:t>-</w:t>
      </w:r>
      <w:proofErr w:type="spellStart"/>
      <w:r w:rsidR="00D56EF1" w:rsidRPr="00D56EF1">
        <w:rPr>
          <w:i/>
          <w:iCs/>
          <w:color w:val="000000"/>
        </w:rPr>
        <w:t>scène</w:t>
      </w:r>
      <w:proofErr w:type="spellEnd"/>
      <w:r w:rsidRPr="00EC240B">
        <w:rPr>
          <w:color w:val="000000"/>
        </w:rPr>
        <w:t xml:space="preserve"> setting element, Agus's house is depicted as being made of bamboo and rattan, with a dirt floor, a kerosene lamp in front of the house, and Marni cooking using a stove and firewood. Crickets, jars, and flashlights at the beginning of the film are props used by Agus to catch crickets, which are a side dish for the sick Ningsih.</w:t>
      </w:r>
      <w:r w:rsidR="00DD3A79">
        <w:rPr>
          <w:color w:val="000000"/>
        </w:rPr>
        <w:t xml:space="preserve"> </w:t>
      </w:r>
      <w:r w:rsidRPr="00EC240B">
        <w:rPr>
          <w:color w:val="000000"/>
        </w:rPr>
        <w:t xml:space="preserve">It is known that the tradition of the </w:t>
      </w:r>
      <w:proofErr w:type="spellStart"/>
      <w:r w:rsidRPr="00EC240B">
        <w:rPr>
          <w:color w:val="000000"/>
        </w:rPr>
        <w:t>Gunungkidul</w:t>
      </w:r>
      <w:proofErr w:type="spellEnd"/>
      <w:r w:rsidRPr="00EC240B">
        <w:rPr>
          <w:color w:val="000000"/>
        </w:rPr>
        <w:t xml:space="preserve"> community is to catch crickets or other insects to sell as animal feed (livelihood) or to eat as a complement to staple foods (tradition or poverty). </w:t>
      </w:r>
    </w:p>
    <w:p w14:paraId="377EC72A" w14:textId="723040E0" w:rsidR="00EC240B" w:rsidRPr="00EC240B" w:rsidRDefault="00EC240B" w:rsidP="00DD3A79">
      <w:pPr>
        <w:ind w:firstLine="720"/>
        <w:jc w:val="both"/>
        <w:rPr>
          <w:color w:val="000000"/>
        </w:rPr>
      </w:pPr>
      <w:r w:rsidRPr="00EC240B">
        <w:rPr>
          <w:color w:val="000000"/>
        </w:rPr>
        <w:t xml:space="preserve">The </w:t>
      </w:r>
      <w:r w:rsidR="00D56EF1" w:rsidRPr="00D56EF1">
        <w:rPr>
          <w:i/>
          <w:iCs/>
          <w:color w:val="000000"/>
        </w:rPr>
        <w:t>mise-</w:t>
      </w:r>
      <w:proofErr w:type="spellStart"/>
      <w:r w:rsidR="00D56EF1" w:rsidRPr="00D56EF1">
        <w:rPr>
          <w:i/>
          <w:iCs/>
          <w:color w:val="000000"/>
        </w:rPr>
        <w:t>en</w:t>
      </w:r>
      <w:proofErr w:type="spellEnd"/>
      <w:r w:rsidR="00D56EF1" w:rsidRPr="00D56EF1">
        <w:rPr>
          <w:i/>
          <w:iCs/>
          <w:color w:val="000000"/>
        </w:rPr>
        <w:t>-</w:t>
      </w:r>
      <w:proofErr w:type="spellStart"/>
      <w:r w:rsidR="00D56EF1" w:rsidRPr="00D56EF1">
        <w:rPr>
          <w:i/>
          <w:iCs/>
          <w:color w:val="000000"/>
        </w:rPr>
        <w:t>scène</w:t>
      </w:r>
      <w:proofErr w:type="spellEnd"/>
      <w:r w:rsidRPr="00EC240B">
        <w:rPr>
          <w:color w:val="000000"/>
        </w:rPr>
        <w:t xml:space="preserve"> elements of costume and makeup are depicted by the simple, dull, and worn-out clothes worn by Agus and his family.</w:t>
      </w:r>
      <w:r w:rsidR="00DD3A79">
        <w:rPr>
          <w:color w:val="000000"/>
        </w:rPr>
        <w:t xml:space="preserve"> </w:t>
      </w:r>
      <w:r w:rsidRPr="00EC240B">
        <w:rPr>
          <w:color w:val="000000"/>
        </w:rPr>
        <w:t xml:space="preserve">The </w:t>
      </w:r>
      <w:r w:rsidR="00D56EF1" w:rsidRPr="00D56EF1">
        <w:rPr>
          <w:i/>
          <w:iCs/>
          <w:color w:val="000000"/>
        </w:rPr>
        <w:t>mise-</w:t>
      </w:r>
      <w:proofErr w:type="spellStart"/>
      <w:r w:rsidR="00D56EF1" w:rsidRPr="00D56EF1">
        <w:rPr>
          <w:i/>
          <w:iCs/>
          <w:color w:val="000000"/>
        </w:rPr>
        <w:t>en</w:t>
      </w:r>
      <w:proofErr w:type="spellEnd"/>
      <w:r w:rsidR="00D56EF1" w:rsidRPr="00D56EF1">
        <w:rPr>
          <w:i/>
          <w:iCs/>
          <w:color w:val="000000"/>
        </w:rPr>
        <w:t>-</w:t>
      </w:r>
      <w:proofErr w:type="spellStart"/>
      <w:r w:rsidR="00D56EF1" w:rsidRPr="00D56EF1">
        <w:rPr>
          <w:i/>
          <w:iCs/>
          <w:color w:val="000000"/>
        </w:rPr>
        <w:t>scène</w:t>
      </w:r>
      <w:proofErr w:type="spellEnd"/>
      <w:r w:rsidRPr="00EC240B">
        <w:rPr>
          <w:color w:val="000000"/>
        </w:rPr>
        <w:t xml:space="preserve"> elements of staging, particularly the acting of the actors who play the characters Agus, Marni, and Ningsih, express the emotions, behavior, and psychology of the characters in depth so that the audience feels emotionally connected to the story and the characters being played. This is called conventional acting. The actors portray sadness, misfortune, and despair that can also be felt tangibly by the audience.</w:t>
      </w:r>
    </w:p>
    <w:p w14:paraId="2B2B599A" w14:textId="77777777" w:rsidR="00EC240B" w:rsidRPr="00F730A5" w:rsidRDefault="00EC240B" w:rsidP="00EC240B">
      <w:pPr>
        <w:jc w:val="both"/>
        <w:rPr>
          <w:b/>
          <w:bCs/>
          <w:color w:val="000000"/>
        </w:rPr>
      </w:pPr>
    </w:p>
    <w:p w14:paraId="15AB660F" w14:textId="69638D29" w:rsidR="00EC240B" w:rsidRPr="00EC240B" w:rsidRDefault="00EC240B" w:rsidP="00EC240B">
      <w:pPr>
        <w:jc w:val="both"/>
        <w:rPr>
          <w:b/>
          <w:bCs/>
          <w:color w:val="000000"/>
        </w:rPr>
      </w:pPr>
      <w:r w:rsidRPr="00EC240B">
        <w:rPr>
          <w:b/>
          <w:bCs/>
          <w:color w:val="000000"/>
        </w:rPr>
        <w:t>Living Alone</w:t>
      </w:r>
    </w:p>
    <w:p w14:paraId="6B771215" w14:textId="1CA39F6E" w:rsidR="00EC240B" w:rsidRPr="00EC240B" w:rsidRDefault="00EC240B" w:rsidP="00EC240B">
      <w:pPr>
        <w:ind w:firstLine="720"/>
        <w:jc w:val="both"/>
        <w:rPr>
          <w:color w:val="000000"/>
        </w:rPr>
      </w:pPr>
      <w:r w:rsidRPr="00EC240B">
        <w:rPr>
          <w:color w:val="000000"/>
        </w:rPr>
        <w:t xml:space="preserve">In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xml:space="preserve">, Mbah </w:t>
      </w:r>
      <w:proofErr w:type="spellStart"/>
      <w:r w:rsidRPr="00EC240B">
        <w:rPr>
          <w:color w:val="000000"/>
        </w:rPr>
        <w:t>Parmin</w:t>
      </w:r>
      <w:proofErr w:type="spellEnd"/>
      <w:r w:rsidRPr="00EC240B">
        <w:rPr>
          <w:color w:val="000000"/>
        </w:rPr>
        <w:t xml:space="preserve">, a dead spirit character, interacts with Agus and expresses his frustration when Agus does not help him in his attempt to hang himself, but instead kills him by strangling him to death. The debate between Mbah </w:t>
      </w:r>
      <w:proofErr w:type="spellStart"/>
      <w:r w:rsidRPr="00EC240B">
        <w:rPr>
          <w:color w:val="000000"/>
        </w:rPr>
        <w:t>Parmin</w:t>
      </w:r>
      <w:proofErr w:type="spellEnd"/>
      <w:r w:rsidRPr="00EC240B">
        <w:rPr>
          <w:color w:val="000000"/>
        </w:rPr>
        <w:t xml:space="preserve"> and Agus ends with Mbah </w:t>
      </w:r>
      <w:proofErr w:type="spellStart"/>
      <w:r w:rsidRPr="00EC240B">
        <w:rPr>
          <w:color w:val="000000"/>
        </w:rPr>
        <w:t>Parmin's</w:t>
      </w:r>
      <w:proofErr w:type="spellEnd"/>
      <w:r w:rsidRPr="00EC240B">
        <w:rPr>
          <w:color w:val="000000"/>
        </w:rPr>
        <w:t xml:space="preserve"> implied statement about the loneliness of living alone in old age. </w:t>
      </w:r>
    </w:p>
    <w:p w14:paraId="51FD9827" w14:textId="77777777" w:rsidR="00EC240B" w:rsidRPr="00EC240B" w:rsidRDefault="00EC240B" w:rsidP="00EC240B">
      <w:pPr>
        <w:ind w:left="567"/>
        <w:jc w:val="both"/>
        <w:rPr>
          <w:color w:val="000000"/>
        </w:rPr>
      </w:pPr>
      <w:r w:rsidRPr="00EC240B">
        <w:rPr>
          <w:i/>
          <w:iCs/>
          <w:color w:val="000000"/>
        </w:rPr>
        <w:t>“</w:t>
      </w:r>
      <w:proofErr w:type="spellStart"/>
      <w:r w:rsidRPr="00EC240B">
        <w:rPr>
          <w:i/>
          <w:iCs/>
          <w:color w:val="000000"/>
        </w:rPr>
        <w:t>Kowe</w:t>
      </w:r>
      <w:proofErr w:type="spellEnd"/>
      <w:r w:rsidRPr="00EC240B">
        <w:rPr>
          <w:i/>
          <w:iCs/>
          <w:color w:val="000000"/>
        </w:rPr>
        <w:t xml:space="preserve"> ra tau </w:t>
      </w:r>
      <w:proofErr w:type="spellStart"/>
      <w:r w:rsidRPr="00EC240B">
        <w:rPr>
          <w:i/>
          <w:iCs/>
          <w:color w:val="000000"/>
        </w:rPr>
        <w:t>reti</w:t>
      </w:r>
      <w:proofErr w:type="spellEnd"/>
      <w:r w:rsidRPr="00EC240B">
        <w:rPr>
          <w:i/>
          <w:iCs/>
          <w:color w:val="000000"/>
        </w:rPr>
        <w:t xml:space="preserve"> </w:t>
      </w:r>
      <w:proofErr w:type="spellStart"/>
      <w:r w:rsidRPr="00EC240B">
        <w:rPr>
          <w:i/>
          <w:iCs/>
          <w:color w:val="000000"/>
        </w:rPr>
        <w:t>rasane</w:t>
      </w:r>
      <w:proofErr w:type="spellEnd"/>
      <w:r w:rsidRPr="00EC240B">
        <w:rPr>
          <w:i/>
          <w:iCs/>
          <w:color w:val="000000"/>
        </w:rPr>
        <w:t xml:space="preserve"> </w:t>
      </w:r>
      <w:proofErr w:type="spellStart"/>
      <w:r w:rsidRPr="00EC240B">
        <w:rPr>
          <w:i/>
          <w:iCs/>
          <w:color w:val="000000"/>
        </w:rPr>
        <w:t>urip</w:t>
      </w:r>
      <w:proofErr w:type="spellEnd"/>
      <w:r w:rsidRPr="00EC240B">
        <w:rPr>
          <w:i/>
          <w:iCs/>
          <w:color w:val="000000"/>
        </w:rPr>
        <w:t xml:space="preserve"> </w:t>
      </w:r>
      <w:proofErr w:type="spellStart"/>
      <w:r w:rsidRPr="00EC240B">
        <w:rPr>
          <w:i/>
          <w:iCs/>
          <w:color w:val="000000"/>
        </w:rPr>
        <w:t>dhewe</w:t>
      </w:r>
      <w:proofErr w:type="spellEnd"/>
      <w:r w:rsidRPr="00EC240B">
        <w:rPr>
          <w:i/>
          <w:iCs/>
          <w:color w:val="000000"/>
        </w:rPr>
        <w:t xml:space="preserve">, aku </w:t>
      </w:r>
      <w:proofErr w:type="spellStart"/>
      <w:r w:rsidRPr="00EC240B">
        <w:rPr>
          <w:i/>
          <w:iCs/>
          <w:color w:val="000000"/>
        </w:rPr>
        <w:t>kangen</w:t>
      </w:r>
      <w:proofErr w:type="spellEnd"/>
      <w:r w:rsidRPr="00EC240B">
        <w:rPr>
          <w:i/>
          <w:iCs/>
          <w:color w:val="000000"/>
        </w:rPr>
        <w:t xml:space="preserve"> marang </w:t>
      </w:r>
      <w:proofErr w:type="spellStart"/>
      <w:r w:rsidRPr="00EC240B">
        <w:rPr>
          <w:i/>
          <w:iCs/>
          <w:color w:val="000000"/>
        </w:rPr>
        <w:t>anakku</w:t>
      </w:r>
      <w:proofErr w:type="spellEnd"/>
      <w:r w:rsidRPr="00EC240B">
        <w:rPr>
          <w:i/>
          <w:iCs/>
          <w:color w:val="000000"/>
        </w:rPr>
        <w:t>.”</w:t>
      </w:r>
    </w:p>
    <w:p w14:paraId="08C2F8FF" w14:textId="317706E7" w:rsidR="00EC240B" w:rsidRPr="00F730A5" w:rsidRDefault="00EC240B" w:rsidP="00EC240B">
      <w:pPr>
        <w:ind w:left="567"/>
        <w:jc w:val="both"/>
        <w:rPr>
          <w:color w:val="000000"/>
        </w:rPr>
      </w:pPr>
      <w:r w:rsidRPr="00EC240B">
        <w:rPr>
          <w:color w:val="000000"/>
        </w:rPr>
        <w:t>(You don't know what it's like to live alone. I miss my child).</w:t>
      </w:r>
    </w:p>
    <w:p w14:paraId="376F6F97" w14:textId="77777777" w:rsidR="00EC240B" w:rsidRPr="00EC240B" w:rsidRDefault="00EC240B" w:rsidP="00EC240B">
      <w:pPr>
        <w:ind w:left="567"/>
        <w:jc w:val="both"/>
        <w:rPr>
          <w:color w:val="000000"/>
        </w:rPr>
      </w:pPr>
    </w:p>
    <w:p w14:paraId="3AD70689" w14:textId="09D2C9E1" w:rsidR="00EC240B" w:rsidRPr="00F730A5" w:rsidRDefault="00EC240B" w:rsidP="00EC240B">
      <w:pPr>
        <w:jc w:val="center"/>
        <w:rPr>
          <w:color w:val="000000"/>
        </w:rPr>
      </w:pPr>
      <w:r w:rsidRPr="00F730A5">
        <w:rPr>
          <w:i/>
          <w:iCs/>
          <w:noProof/>
          <w:lang w:eastAsia="en-US"/>
        </w:rPr>
        <w:drawing>
          <wp:inline distT="114300" distB="114300" distL="114300" distR="114300" wp14:anchorId="76977ED2" wp14:editId="2CE9466F">
            <wp:extent cx="2895600" cy="1336431"/>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2895600" cy="1336431"/>
                    </a:xfrm>
                    <a:prstGeom prst="rect">
                      <a:avLst/>
                    </a:prstGeom>
                    <a:ln/>
                  </pic:spPr>
                </pic:pic>
              </a:graphicData>
            </a:graphic>
          </wp:inline>
        </w:drawing>
      </w:r>
    </w:p>
    <w:p w14:paraId="302C80D5" w14:textId="4AB486B7" w:rsidR="00EC240B" w:rsidRPr="00F730A5" w:rsidRDefault="00EC240B" w:rsidP="00EC240B">
      <w:pPr>
        <w:jc w:val="center"/>
        <w:rPr>
          <w:color w:val="000000"/>
        </w:rPr>
      </w:pPr>
      <w:r w:rsidRPr="00EC240B">
        <w:rPr>
          <w:b/>
          <w:bCs/>
          <w:color w:val="000000"/>
        </w:rPr>
        <w:t>Figure 4</w:t>
      </w:r>
      <w:r w:rsidR="00F730A5" w:rsidRPr="00F730A5">
        <w:rPr>
          <w:b/>
          <w:bCs/>
          <w:color w:val="000000"/>
        </w:rPr>
        <w:t>.</w:t>
      </w:r>
      <w:r w:rsidRPr="00EC240B">
        <w:rPr>
          <w:color w:val="000000"/>
        </w:rPr>
        <w:t xml:space="preserve"> The spirit of Mbah </w:t>
      </w:r>
      <w:proofErr w:type="spellStart"/>
      <w:r w:rsidRPr="00EC240B">
        <w:rPr>
          <w:color w:val="000000"/>
        </w:rPr>
        <w:t>Parmin</w:t>
      </w:r>
      <w:proofErr w:type="spellEnd"/>
      <w:r w:rsidRPr="00EC240B">
        <w:rPr>
          <w:color w:val="000000"/>
        </w:rPr>
        <w:t xml:space="preserve"> is angry at Agus for killing him when he hanged himself.</w:t>
      </w:r>
    </w:p>
    <w:p w14:paraId="49F68A52" w14:textId="77777777" w:rsidR="00EC240B" w:rsidRPr="00F730A5" w:rsidRDefault="00EC240B" w:rsidP="00623479">
      <w:pPr>
        <w:ind w:firstLine="720"/>
        <w:jc w:val="both"/>
        <w:rPr>
          <w:color w:val="000000"/>
        </w:rPr>
      </w:pPr>
    </w:p>
    <w:p w14:paraId="1593C7F3" w14:textId="37C28771" w:rsidR="00EC240B" w:rsidRPr="00EC240B" w:rsidRDefault="00EC240B" w:rsidP="00EC240B">
      <w:pPr>
        <w:ind w:firstLine="720"/>
        <w:jc w:val="both"/>
        <w:rPr>
          <w:color w:val="000000"/>
        </w:rPr>
      </w:pPr>
      <w:r w:rsidRPr="00EC240B">
        <w:rPr>
          <w:color w:val="000000"/>
        </w:rPr>
        <w:t xml:space="preserve">In the film, it is mentioned that Mbah </w:t>
      </w:r>
      <w:proofErr w:type="spellStart"/>
      <w:r w:rsidRPr="00EC240B">
        <w:rPr>
          <w:color w:val="000000"/>
        </w:rPr>
        <w:t>Parmin's</w:t>
      </w:r>
      <w:proofErr w:type="spellEnd"/>
      <w:r w:rsidRPr="00EC240B">
        <w:rPr>
          <w:color w:val="000000"/>
        </w:rPr>
        <w:t xml:space="preserve"> child has not come home to visit him for a long time, leaving him feeling lonely because he lives alone. This statement is reinforced by the fact that many residents of </w:t>
      </w:r>
      <w:proofErr w:type="spellStart"/>
      <w:r w:rsidRPr="00EC240B">
        <w:rPr>
          <w:color w:val="000000"/>
        </w:rPr>
        <w:t>Gunungkidul</w:t>
      </w:r>
      <w:proofErr w:type="spellEnd"/>
      <w:r w:rsidRPr="00EC240B">
        <w:rPr>
          <w:color w:val="000000"/>
        </w:rPr>
        <w:t xml:space="preserve"> migrate in search of a better life</w:t>
      </w:r>
      <w:r w:rsidR="00F41CF7">
        <w:rPr>
          <w:color w:val="000000"/>
        </w:rPr>
        <w:t xml:space="preserve"> </w:t>
      </w:r>
      <w:r w:rsidR="00F41CF7">
        <w:fldChar w:fldCharType="begin" w:fldLock="1"/>
      </w:r>
      <w:r w:rsidR="009B40B5">
        <w:instrText>ADDIN CSL_CITATION {"citationItems":[{"id":"ITEM-1","itemData":{"author":[{"dropping-particle":"","family":"Jacobmeyer","given":"Hannah","non-dropping-particle":"","parse-names":false,"suffix":""}],"container-title":"gwdg.de","id":"ITEM-1","issued":{"date-parts":[["1998"]]},"title":"Graham Swift, Ever After : a Study in Intertextuality","type":"webpage"},"uris":["http://www.mendeley.com/documents/?uuid=ce137a8f-b928-4dc8-9c4d-3a59f9eb7c5e","http://www.mendeley.com/documents/?uuid=3f2bc118-5797-4c30-9681-df4238a583cc","http://www.mendeley.com/documents/?uuid=500e7dc3-1e9d-4372-8415-0f7408984d3e"]}],"mendeley":{"formattedCitation":"(Jacobmeyer, 1998)","plainTextFormattedCitation":"(Jacobmeyer, 1998)","previouslyFormattedCitation":"(Jacobmeyer, 1998)"},"properties":{"noteIndex":0},"schema":"https://github.com/citation-style-language/schema/raw/master/csl-citation.json"}</w:instrText>
      </w:r>
      <w:r w:rsidR="00F41CF7">
        <w:fldChar w:fldCharType="separate"/>
      </w:r>
      <w:r w:rsidR="00F41CF7">
        <w:rPr>
          <w:noProof/>
        </w:rPr>
        <w:t>(Jacobmeyer, 1998)</w:t>
      </w:r>
      <w:r w:rsidR="00F41CF7">
        <w:fldChar w:fldCharType="end"/>
      </w:r>
      <w:r w:rsidRPr="00EC240B">
        <w:rPr>
          <w:color w:val="000000"/>
        </w:rPr>
        <w:t>. The geographical location, which causes many rice fields to dry up, has led many young residents to seek their fortune in Yogyakarta or surrounding cities.</w:t>
      </w:r>
    </w:p>
    <w:p w14:paraId="616A68C0" w14:textId="77777777" w:rsidR="00EC240B" w:rsidRPr="00EC240B" w:rsidRDefault="00EC240B" w:rsidP="00EC240B">
      <w:pPr>
        <w:ind w:firstLine="720"/>
        <w:jc w:val="both"/>
        <w:rPr>
          <w:color w:val="000000"/>
        </w:rPr>
      </w:pPr>
      <w:r w:rsidRPr="00EC240B">
        <w:rPr>
          <w:color w:val="000000"/>
        </w:rPr>
        <w:t xml:space="preserve">In the book </w:t>
      </w:r>
      <w:proofErr w:type="spellStart"/>
      <w:r w:rsidRPr="00EC240B">
        <w:rPr>
          <w:i/>
          <w:iCs/>
          <w:color w:val="000000"/>
        </w:rPr>
        <w:t>Pulung</w:t>
      </w:r>
      <w:proofErr w:type="spellEnd"/>
      <w:r w:rsidRPr="00EC240B">
        <w:rPr>
          <w:i/>
          <w:iCs/>
          <w:color w:val="000000"/>
        </w:rPr>
        <w:t xml:space="preserve"> </w:t>
      </w:r>
      <w:proofErr w:type="spellStart"/>
      <w:r w:rsidRPr="00EC240B">
        <w:rPr>
          <w:i/>
          <w:iCs/>
          <w:color w:val="000000"/>
        </w:rPr>
        <w:t>Gantung</w:t>
      </w:r>
      <w:proofErr w:type="spellEnd"/>
      <w:r w:rsidRPr="00EC240B">
        <w:rPr>
          <w:color w:val="000000"/>
        </w:rPr>
        <w:t xml:space="preserve">, </w:t>
      </w:r>
      <w:proofErr w:type="spellStart"/>
      <w:r w:rsidRPr="00EC240B">
        <w:rPr>
          <w:color w:val="000000"/>
        </w:rPr>
        <w:t>Darmaningtyas</w:t>
      </w:r>
      <w:proofErr w:type="spellEnd"/>
      <w:r w:rsidRPr="00EC240B">
        <w:rPr>
          <w:color w:val="000000"/>
        </w:rPr>
        <w:t xml:space="preserve"> describes the case of Saliman alias </w:t>
      </w:r>
      <w:proofErr w:type="spellStart"/>
      <w:r w:rsidRPr="00EC240B">
        <w:rPr>
          <w:color w:val="000000"/>
        </w:rPr>
        <w:t>Karto</w:t>
      </w:r>
      <w:proofErr w:type="spellEnd"/>
      <w:r w:rsidRPr="00EC240B">
        <w:rPr>
          <w:color w:val="000000"/>
        </w:rPr>
        <w:t xml:space="preserve">, a resident of </w:t>
      </w:r>
      <w:proofErr w:type="spellStart"/>
      <w:r w:rsidRPr="00EC240B">
        <w:rPr>
          <w:color w:val="000000"/>
        </w:rPr>
        <w:t>Monggol</w:t>
      </w:r>
      <w:proofErr w:type="spellEnd"/>
      <w:r w:rsidRPr="00EC240B">
        <w:rPr>
          <w:color w:val="000000"/>
        </w:rPr>
        <w:t xml:space="preserve"> Village, </w:t>
      </w:r>
      <w:proofErr w:type="spellStart"/>
      <w:r w:rsidRPr="00EC240B">
        <w:rPr>
          <w:color w:val="000000"/>
        </w:rPr>
        <w:t>Saptosari</w:t>
      </w:r>
      <w:proofErr w:type="spellEnd"/>
      <w:r w:rsidRPr="00EC240B">
        <w:rPr>
          <w:color w:val="000000"/>
        </w:rPr>
        <w:t xml:space="preserve"> District, who lives alone. He does not know where he comes from because he was separated from his family when he was a child while fleeing to safety during the Dutch attack on Yogyakarta (1948) or the Geger </w:t>
      </w:r>
      <w:proofErr w:type="spellStart"/>
      <w:r w:rsidRPr="00EC240B">
        <w:rPr>
          <w:color w:val="000000"/>
        </w:rPr>
        <w:t>Lemper</w:t>
      </w:r>
      <w:proofErr w:type="spellEnd"/>
      <w:r w:rsidRPr="00EC240B">
        <w:rPr>
          <w:color w:val="000000"/>
        </w:rPr>
        <w:t xml:space="preserve"> incident. After years of drifting, working for people who knew him out of pity, choosing not to marry and have children, suffering from unresolved trauma, mental illness, and severe eye disease, he could no longer bear his endless suffering. Finally, Saliman decided to commit suicide by hanging himself.</w:t>
      </w:r>
    </w:p>
    <w:p w14:paraId="4A4185C9" w14:textId="4F95CF5B" w:rsidR="00EC240B" w:rsidRPr="006A533A" w:rsidRDefault="00EC240B" w:rsidP="006A533A">
      <w:pPr>
        <w:ind w:firstLine="720"/>
        <w:jc w:val="both"/>
        <w:rPr>
          <w:color w:val="000000"/>
          <w:lang w:val="id-ID"/>
        </w:rPr>
      </w:pPr>
      <w:r w:rsidRPr="00EC240B">
        <w:rPr>
          <w:color w:val="000000"/>
        </w:rPr>
        <w:t xml:space="preserve">The author identifies the presence of </w:t>
      </w:r>
      <w:r w:rsidRPr="00602C87">
        <w:rPr>
          <w:color w:val="000000"/>
        </w:rPr>
        <w:t>optional intertextuality</w:t>
      </w:r>
      <w:r w:rsidRPr="00EC240B">
        <w:rPr>
          <w:i/>
          <w:iCs/>
          <w:color w:val="000000"/>
        </w:rPr>
        <w:t xml:space="preserve"> </w:t>
      </w:r>
      <w:r w:rsidRPr="00EC240B">
        <w:rPr>
          <w:color w:val="000000"/>
        </w:rPr>
        <w:t xml:space="preserve">in both texts because they share similarities in the background or history of the characters, namely that they both live alone. However, in terms of character, such as name and gender, they are also different in the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i/>
          <w:iCs/>
          <w:color w:val="000000"/>
        </w:rPr>
        <w:t xml:space="preserve"> </w:t>
      </w:r>
      <w:r w:rsidRPr="00EC240B">
        <w:rPr>
          <w:color w:val="000000"/>
        </w:rPr>
        <w:t xml:space="preserve">and the book </w:t>
      </w:r>
      <w:proofErr w:type="spellStart"/>
      <w:r w:rsidRPr="00EC240B">
        <w:rPr>
          <w:i/>
          <w:iCs/>
          <w:color w:val="000000"/>
        </w:rPr>
        <w:t>Pulung</w:t>
      </w:r>
      <w:proofErr w:type="spellEnd"/>
      <w:r w:rsidRPr="00EC240B">
        <w:rPr>
          <w:i/>
          <w:iCs/>
          <w:color w:val="000000"/>
        </w:rPr>
        <w:t xml:space="preserve"> </w:t>
      </w:r>
      <w:proofErr w:type="spellStart"/>
      <w:r w:rsidRPr="00EC240B">
        <w:rPr>
          <w:i/>
          <w:iCs/>
          <w:color w:val="000000"/>
        </w:rPr>
        <w:t>Gantung</w:t>
      </w:r>
      <w:proofErr w:type="spellEnd"/>
      <w:r w:rsidRPr="00EC240B">
        <w:rPr>
          <w:i/>
          <w:iCs/>
          <w:color w:val="000000"/>
        </w:rPr>
        <w:t xml:space="preserve">. </w:t>
      </w:r>
      <w:r w:rsidRPr="00EC240B">
        <w:rPr>
          <w:color w:val="000000"/>
        </w:rPr>
        <w:t xml:space="preserve">In the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xml:space="preserve">, Mbah </w:t>
      </w:r>
      <w:proofErr w:type="spellStart"/>
      <w:r w:rsidRPr="00EC240B">
        <w:rPr>
          <w:color w:val="000000"/>
        </w:rPr>
        <w:t>Parmin</w:t>
      </w:r>
      <w:proofErr w:type="spellEnd"/>
      <w:r w:rsidRPr="00EC240B">
        <w:rPr>
          <w:color w:val="000000"/>
        </w:rPr>
        <w:t xml:space="preserve"> is depicted as living alone, abandoned by his child who never came home to see him again, leaving him feeling lonely. Meanwhile, in the book </w:t>
      </w:r>
      <w:proofErr w:type="spellStart"/>
      <w:r w:rsidRPr="00372F2C">
        <w:rPr>
          <w:i/>
          <w:iCs/>
          <w:color w:val="000000"/>
        </w:rPr>
        <w:t>Pulung</w:t>
      </w:r>
      <w:proofErr w:type="spellEnd"/>
      <w:r w:rsidRPr="00372F2C">
        <w:rPr>
          <w:i/>
          <w:iCs/>
          <w:color w:val="000000"/>
        </w:rPr>
        <w:t xml:space="preserve"> </w:t>
      </w:r>
      <w:proofErr w:type="spellStart"/>
      <w:r w:rsidRPr="00372F2C">
        <w:rPr>
          <w:i/>
          <w:iCs/>
          <w:color w:val="000000"/>
        </w:rPr>
        <w:t>Gantung</w:t>
      </w:r>
      <w:proofErr w:type="spellEnd"/>
      <w:r w:rsidRPr="00EC240B">
        <w:rPr>
          <w:color w:val="000000"/>
        </w:rPr>
        <w:t xml:space="preserve">, Saliman lives alone because he was separated from his parents in 1948. To show this, the </w:t>
      </w:r>
      <w:r w:rsidR="00D56EF1" w:rsidRPr="00D56EF1">
        <w:rPr>
          <w:i/>
          <w:iCs/>
          <w:color w:val="000000"/>
        </w:rPr>
        <w:t>mise-</w:t>
      </w:r>
      <w:proofErr w:type="spellStart"/>
      <w:r w:rsidR="00D56EF1" w:rsidRPr="00D56EF1">
        <w:rPr>
          <w:i/>
          <w:iCs/>
          <w:color w:val="000000"/>
        </w:rPr>
        <w:t>en</w:t>
      </w:r>
      <w:proofErr w:type="spellEnd"/>
      <w:r w:rsidR="00D56EF1" w:rsidRPr="00D56EF1">
        <w:rPr>
          <w:i/>
          <w:iCs/>
          <w:color w:val="000000"/>
        </w:rPr>
        <w:t>-</w:t>
      </w:r>
      <w:proofErr w:type="spellStart"/>
      <w:r w:rsidR="00D56EF1" w:rsidRPr="00D56EF1">
        <w:rPr>
          <w:i/>
          <w:iCs/>
          <w:color w:val="000000"/>
        </w:rPr>
        <w:t>scène</w:t>
      </w:r>
      <w:proofErr w:type="spellEnd"/>
      <w:r w:rsidRPr="00EC240B">
        <w:rPr>
          <w:color w:val="000000"/>
        </w:rPr>
        <w:t xml:space="preserve"> staging elements, especially the conventional acting of the actor who plays Mbah </w:t>
      </w:r>
      <w:proofErr w:type="spellStart"/>
      <w:r w:rsidRPr="00EC240B">
        <w:rPr>
          <w:color w:val="000000"/>
        </w:rPr>
        <w:t>Parmin</w:t>
      </w:r>
      <w:proofErr w:type="spellEnd"/>
      <w:r w:rsidRPr="00EC240B">
        <w:rPr>
          <w:color w:val="000000"/>
        </w:rPr>
        <w:t xml:space="preserve">, support the expression of sadness due to living alone, abandoned by his child, and shown through his frustration when he is angry because </w:t>
      </w:r>
      <w:r w:rsidR="00A52090" w:rsidRPr="00A52090">
        <w:rPr>
          <w:color w:val="000000"/>
          <w:lang w:val="id-ID"/>
        </w:rPr>
        <w:t xml:space="preserve">he is killed by </w:t>
      </w:r>
      <w:r w:rsidRPr="00EC240B">
        <w:rPr>
          <w:color w:val="000000"/>
        </w:rPr>
        <w:t>Agus.</w:t>
      </w:r>
      <w:r w:rsidR="00A52090">
        <w:rPr>
          <w:color w:val="000000"/>
        </w:rPr>
        <w:t xml:space="preserve"> </w:t>
      </w:r>
    </w:p>
    <w:p w14:paraId="700A5277" w14:textId="77777777" w:rsidR="00F730A5" w:rsidRPr="00F730A5" w:rsidRDefault="00F730A5" w:rsidP="00EC240B">
      <w:pPr>
        <w:ind w:firstLine="720"/>
        <w:jc w:val="both"/>
        <w:rPr>
          <w:b/>
          <w:bCs/>
          <w:color w:val="000000"/>
        </w:rPr>
      </w:pPr>
    </w:p>
    <w:p w14:paraId="4EB64969" w14:textId="7DB0506D" w:rsidR="00EC240B" w:rsidRPr="00EC240B" w:rsidRDefault="00EC240B" w:rsidP="00F730A5">
      <w:pPr>
        <w:jc w:val="both"/>
        <w:rPr>
          <w:b/>
          <w:bCs/>
          <w:color w:val="000000"/>
        </w:rPr>
      </w:pPr>
      <w:r w:rsidRPr="00EC240B">
        <w:rPr>
          <w:b/>
          <w:bCs/>
          <w:color w:val="000000"/>
        </w:rPr>
        <w:t>Chronic Illness</w:t>
      </w:r>
    </w:p>
    <w:p w14:paraId="422B0F5F" w14:textId="661D7830" w:rsidR="00EC240B" w:rsidRPr="00EC240B" w:rsidRDefault="00EC240B" w:rsidP="00EC240B">
      <w:pPr>
        <w:ind w:firstLine="720"/>
        <w:jc w:val="both"/>
        <w:rPr>
          <w:color w:val="000000"/>
        </w:rPr>
      </w:pPr>
      <w:r w:rsidRPr="00EC240B">
        <w:rPr>
          <w:color w:val="000000"/>
        </w:rPr>
        <w:t xml:space="preserve">In the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the character Mbah Sum intends to commit suicide because of chronic illness. The reason for this suicide is revealed when the spirits of the dead (supporting characters) talk to each other and Mbah Pon, his friend, reveals the background of Sum's death.</w:t>
      </w:r>
    </w:p>
    <w:p w14:paraId="08F97B45" w14:textId="77777777" w:rsidR="00EC240B" w:rsidRPr="00EC240B" w:rsidRDefault="00EC240B" w:rsidP="00F730A5">
      <w:pPr>
        <w:ind w:left="567"/>
        <w:jc w:val="both"/>
        <w:rPr>
          <w:color w:val="000000"/>
        </w:rPr>
      </w:pPr>
      <w:r w:rsidRPr="00EC240B">
        <w:rPr>
          <w:i/>
          <w:iCs/>
          <w:color w:val="000000"/>
        </w:rPr>
        <w:t>“</w:t>
      </w:r>
      <w:proofErr w:type="spellStart"/>
      <w:r w:rsidRPr="00EC240B">
        <w:rPr>
          <w:i/>
          <w:iCs/>
          <w:color w:val="000000"/>
        </w:rPr>
        <w:t>Tekon</w:t>
      </w:r>
      <w:proofErr w:type="spellEnd"/>
      <w:r w:rsidRPr="00EC240B">
        <w:rPr>
          <w:i/>
          <w:iCs/>
          <w:color w:val="000000"/>
        </w:rPr>
        <w:t xml:space="preserve"> o </w:t>
      </w:r>
      <w:proofErr w:type="spellStart"/>
      <w:r w:rsidRPr="00EC240B">
        <w:rPr>
          <w:i/>
          <w:iCs/>
          <w:color w:val="000000"/>
        </w:rPr>
        <w:t>Mbak</w:t>
      </w:r>
      <w:proofErr w:type="spellEnd"/>
      <w:r w:rsidRPr="00EC240B">
        <w:rPr>
          <w:i/>
          <w:iCs/>
          <w:color w:val="000000"/>
        </w:rPr>
        <w:t xml:space="preserve"> Sum ki </w:t>
      </w:r>
      <w:proofErr w:type="spellStart"/>
      <w:r w:rsidRPr="00EC240B">
        <w:rPr>
          <w:i/>
          <w:iCs/>
          <w:color w:val="000000"/>
        </w:rPr>
        <w:t>lho</w:t>
      </w:r>
      <w:proofErr w:type="spellEnd"/>
      <w:r w:rsidRPr="00EC240B">
        <w:rPr>
          <w:i/>
          <w:iCs/>
          <w:color w:val="000000"/>
        </w:rPr>
        <w:t xml:space="preserve">, sing </w:t>
      </w:r>
      <w:proofErr w:type="spellStart"/>
      <w:r w:rsidRPr="00EC240B">
        <w:rPr>
          <w:i/>
          <w:iCs/>
          <w:color w:val="000000"/>
        </w:rPr>
        <w:t>kulina</w:t>
      </w:r>
      <w:proofErr w:type="spellEnd"/>
      <w:r w:rsidRPr="00EC240B">
        <w:rPr>
          <w:i/>
          <w:iCs/>
          <w:color w:val="000000"/>
        </w:rPr>
        <w:t xml:space="preserve"> </w:t>
      </w:r>
      <w:proofErr w:type="spellStart"/>
      <w:r w:rsidRPr="00EC240B">
        <w:rPr>
          <w:i/>
          <w:iCs/>
          <w:color w:val="000000"/>
        </w:rPr>
        <w:t>kelaranen</w:t>
      </w:r>
      <w:proofErr w:type="spellEnd"/>
      <w:r w:rsidRPr="00EC240B">
        <w:rPr>
          <w:i/>
          <w:iCs/>
          <w:color w:val="000000"/>
        </w:rPr>
        <w:t xml:space="preserve"> </w:t>
      </w:r>
      <w:proofErr w:type="spellStart"/>
      <w:r w:rsidRPr="00EC240B">
        <w:rPr>
          <w:i/>
          <w:iCs/>
          <w:color w:val="000000"/>
        </w:rPr>
        <w:t>mbiyen</w:t>
      </w:r>
      <w:proofErr w:type="spellEnd"/>
      <w:r w:rsidRPr="00EC240B">
        <w:rPr>
          <w:i/>
          <w:iCs/>
          <w:color w:val="000000"/>
        </w:rPr>
        <w:t>.”</w:t>
      </w:r>
    </w:p>
    <w:p w14:paraId="65FAABAE" w14:textId="1D6DBD41" w:rsidR="00EC240B" w:rsidRPr="00EC240B" w:rsidRDefault="00EC240B" w:rsidP="00F730A5">
      <w:pPr>
        <w:ind w:left="567"/>
        <w:jc w:val="both"/>
        <w:rPr>
          <w:color w:val="000000"/>
        </w:rPr>
      </w:pPr>
      <w:r w:rsidRPr="00EC240B">
        <w:rPr>
          <w:color w:val="000000"/>
        </w:rPr>
        <w:t xml:space="preserve">(Ask </w:t>
      </w:r>
      <w:proofErr w:type="spellStart"/>
      <w:r w:rsidRPr="00EC240B">
        <w:rPr>
          <w:color w:val="000000"/>
        </w:rPr>
        <w:t>Mba</w:t>
      </w:r>
      <w:proofErr w:type="spellEnd"/>
      <w:r w:rsidRPr="00EC240B">
        <w:rPr>
          <w:color w:val="000000"/>
        </w:rPr>
        <w:t xml:space="preserve"> Sum, who used to be sick often).</w:t>
      </w:r>
    </w:p>
    <w:p w14:paraId="5C991318" w14:textId="74D95536" w:rsidR="00EC240B" w:rsidRPr="00F730A5" w:rsidRDefault="00EC240B" w:rsidP="00F730A5">
      <w:pPr>
        <w:jc w:val="center"/>
        <w:rPr>
          <w:color w:val="000000"/>
        </w:rPr>
      </w:pPr>
      <w:r w:rsidRPr="00F730A5">
        <w:rPr>
          <w:noProof/>
          <w:lang w:eastAsia="en-US"/>
        </w:rPr>
        <w:drawing>
          <wp:inline distT="114300" distB="114300" distL="114300" distR="114300" wp14:anchorId="50A6EF9A" wp14:editId="2F42D1DF">
            <wp:extent cx="3105150" cy="1688152"/>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3105150" cy="1688152"/>
                    </a:xfrm>
                    <a:prstGeom prst="rect">
                      <a:avLst/>
                    </a:prstGeom>
                    <a:ln/>
                  </pic:spPr>
                </pic:pic>
              </a:graphicData>
            </a:graphic>
          </wp:inline>
        </w:drawing>
      </w:r>
    </w:p>
    <w:p w14:paraId="53D2DF2C" w14:textId="6AEEC7AB" w:rsidR="00EC240B" w:rsidRPr="00EC240B" w:rsidRDefault="00EC240B" w:rsidP="00F730A5">
      <w:pPr>
        <w:jc w:val="center"/>
        <w:rPr>
          <w:color w:val="000000"/>
        </w:rPr>
      </w:pPr>
      <w:r w:rsidRPr="00EC240B">
        <w:rPr>
          <w:b/>
          <w:bCs/>
          <w:color w:val="000000"/>
        </w:rPr>
        <w:t>Figure 5</w:t>
      </w:r>
      <w:r w:rsidR="00F730A5" w:rsidRPr="00F730A5">
        <w:rPr>
          <w:b/>
          <w:bCs/>
          <w:color w:val="000000"/>
        </w:rPr>
        <w:t>.</w:t>
      </w:r>
      <w:r w:rsidRPr="00EC240B">
        <w:rPr>
          <w:color w:val="000000"/>
        </w:rPr>
        <w:t xml:space="preserve"> Mbah Pon reveals the background to Sum's death when he sees the miserable life of Agus's family.</w:t>
      </w:r>
    </w:p>
    <w:p w14:paraId="3DAF1B99" w14:textId="77777777" w:rsidR="00EC240B" w:rsidRPr="00EC240B" w:rsidRDefault="00EC240B" w:rsidP="00EC240B">
      <w:pPr>
        <w:jc w:val="both"/>
        <w:rPr>
          <w:color w:val="000000"/>
        </w:rPr>
      </w:pPr>
    </w:p>
    <w:p w14:paraId="2AF3BAC3" w14:textId="3E8AD197" w:rsidR="00EC240B" w:rsidRPr="00EC240B" w:rsidRDefault="00EC240B" w:rsidP="00EC240B">
      <w:pPr>
        <w:ind w:firstLine="720"/>
        <w:jc w:val="both"/>
        <w:rPr>
          <w:color w:val="000000"/>
        </w:rPr>
      </w:pPr>
      <w:r w:rsidRPr="00EC240B">
        <w:rPr>
          <w:color w:val="000000"/>
        </w:rPr>
        <w:t xml:space="preserve">Chronic illness is also depicted in the film through the character of Ningsih, who is sick, seen lying in bed, weak, and convulsing. Meanwhile, in the book </w:t>
      </w:r>
      <w:proofErr w:type="spellStart"/>
      <w:r w:rsidRPr="00EC240B">
        <w:rPr>
          <w:i/>
          <w:iCs/>
          <w:color w:val="000000"/>
        </w:rPr>
        <w:t>Pulung</w:t>
      </w:r>
      <w:proofErr w:type="spellEnd"/>
      <w:r w:rsidRPr="00EC240B">
        <w:rPr>
          <w:i/>
          <w:iCs/>
          <w:color w:val="000000"/>
        </w:rPr>
        <w:t xml:space="preserve"> </w:t>
      </w:r>
      <w:proofErr w:type="spellStart"/>
      <w:r w:rsidRPr="00EC240B">
        <w:rPr>
          <w:i/>
          <w:iCs/>
          <w:color w:val="000000"/>
        </w:rPr>
        <w:t>Gantung</w:t>
      </w:r>
      <w:proofErr w:type="spellEnd"/>
      <w:r w:rsidRPr="00EC240B">
        <w:rPr>
          <w:color w:val="000000"/>
        </w:rPr>
        <w:t xml:space="preserve">, </w:t>
      </w:r>
      <w:proofErr w:type="spellStart"/>
      <w:r w:rsidRPr="00EC240B">
        <w:rPr>
          <w:color w:val="000000"/>
        </w:rPr>
        <w:t>Darmaningtyas</w:t>
      </w:r>
      <w:proofErr w:type="spellEnd"/>
      <w:r w:rsidRPr="00EC240B">
        <w:rPr>
          <w:color w:val="000000"/>
        </w:rPr>
        <w:t xml:space="preserve"> tells the story of </w:t>
      </w:r>
      <w:proofErr w:type="spellStart"/>
      <w:r w:rsidRPr="00EC240B">
        <w:rPr>
          <w:color w:val="000000"/>
        </w:rPr>
        <w:t>Sidomejo</w:t>
      </w:r>
      <w:proofErr w:type="spellEnd"/>
      <w:r w:rsidRPr="00EC240B">
        <w:rPr>
          <w:color w:val="000000"/>
        </w:rPr>
        <w:t xml:space="preserve">, alias Pak Kromo, a resident of </w:t>
      </w:r>
      <w:proofErr w:type="spellStart"/>
      <w:r w:rsidRPr="00EC240B">
        <w:rPr>
          <w:color w:val="000000"/>
        </w:rPr>
        <w:t>Cengkir</w:t>
      </w:r>
      <w:proofErr w:type="spellEnd"/>
      <w:r w:rsidRPr="00EC240B">
        <w:rPr>
          <w:color w:val="000000"/>
        </w:rPr>
        <w:t xml:space="preserve"> Village, </w:t>
      </w:r>
      <w:proofErr w:type="spellStart"/>
      <w:r w:rsidRPr="00EC240B">
        <w:rPr>
          <w:color w:val="000000"/>
        </w:rPr>
        <w:t>Tepus</w:t>
      </w:r>
      <w:proofErr w:type="spellEnd"/>
      <w:r w:rsidRPr="00EC240B">
        <w:rPr>
          <w:color w:val="000000"/>
        </w:rPr>
        <w:t xml:space="preserve"> District, who suffers from asthma. Various medical and non-medical treatments have been tried, but to no avail; in fact, his condition has worsened. Suffering from asthma for 15 years, </w:t>
      </w:r>
      <w:proofErr w:type="spellStart"/>
      <w:r w:rsidRPr="00EC240B">
        <w:rPr>
          <w:color w:val="000000"/>
        </w:rPr>
        <w:t>Sidomejo</w:t>
      </w:r>
      <w:proofErr w:type="spellEnd"/>
      <w:r w:rsidRPr="00EC240B">
        <w:rPr>
          <w:color w:val="000000"/>
        </w:rPr>
        <w:t xml:space="preserve"> ended his life by hanging himself in his yard.</w:t>
      </w:r>
    </w:p>
    <w:p w14:paraId="6350A760" w14:textId="378D0721" w:rsidR="00EC240B" w:rsidRPr="00EC240B" w:rsidRDefault="00EC240B" w:rsidP="00EC240B">
      <w:pPr>
        <w:ind w:firstLine="720"/>
        <w:jc w:val="both"/>
        <w:rPr>
          <w:color w:val="000000"/>
        </w:rPr>
      </w:pPr>
      <w:r w:rsidRPr="00EC240B">
        <w:rPr>
          <w:color w:val="000000"/>
        </w:rPr>
        <w:t xml:space="preserve">There is </w:t>
      </w:r>
      <w:r w:rsidRPr="00372F2C">
        <w:rPr>
          <w:color w:val="000000"/>
        </w:rPr>
        <w:t>optional intertextuality</w:t>
      </w:r>
      <w:r w:rsidRPr="00EC240B">
        <w:rPr>
          <w:i/>
          <w:iCs/>
          <w:color w:val="000000"/>
        </w:rPr>
        <w:t xml:space="preserve"> </w:t>
      </w:r>
      <w:r w:rsidRPr="00EC240B">
        <w:rPr>
          <w:color w:val="000000"/>
        </w:rPr>
        <w:t xml:space="preserve">in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xml:space="preserve"> and the book </w:t>
      </w:r>
      <w:proofErr w:type="spellStart"/>
      <w:r w:rsidRPr="00EC240B">
        <w:rPr>
          <w:i/>
          <w:iCs/>
          <w:color w:val="000000"/>
        </w:rPr>
        <w:t>Pulung</w:t>
      </w:r>
      <w:proofErr w:type="spellEnd"/>
      <w:r w:rsidRPr="00EC240B">
        <w:rPr>
          <w:i/>
          <w:iCs/>
          <w:color w:val="000000"/>
        </w:rPr>
        <w:t xml:space="preserve"> </w:t>
      </w:r>
      <w:proofErr w:type="spellStart"/>
      <w:r w:rsidRPr="00EC240B">
        <w:rPr>
          <w:i/>
          <w:iCs/>
          <w:color w:val="000000"/>
        </w:rPr>
        <w:t>Gantung</w:t>
      </w:r>
      <w:proofErr w:type="spellEnd"/>
      <w:r w:rsidRPr="00EC240B">
        <w:rPr>
          <w:color w:val="000000"/>
        </w:rPr>
        <w:t xml:space="preserve">, namely the issue of chronic illness suffered in both texts. However, the character in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xml:space="preserve"> is not exactly the same as the suicide victim in the book </w:t>
      </w:r>
      <w:proofErr w:type="spellStart"/>
      <w:r w:rsidRPr="00372F2C">
        <w:rPr>
          <w:i/>
          <w:iCs/>
          <w:color w:val="000000"/>
        </w:rPr>
        <w:t>Pulung</w:t>
      </w:r>
      <w:proofErr w:type="spellEnd"/>
      <w:r w:rsidRPr="00372F2C">
        <w:rPr>
          <w:i/>
          <w:iCs/>
          <w:color w:val="000000"/>
        </w:rPr>
        <w:t xml:space="preserve"> </w:t>
      </w:r>
      <w:proofErr w:type="spellStart"/>
      <w:r w:rsidRPr="00372F2C">
        <w:rPr>
          <w:i/>
          <w:iCs/>
          <w:color w:val="000000"/>
        </w:rPr>
        <w:t>Gantung</w:t>
      </w:r>
      <w:proofErr w:type="spellEnd"/>
      <w:r w:rsidR="00ED1C14">
        <w:rPr>
          <w:i/>
          <w:iCs/>
          <w:color w:val="000000"/>
        </w:rPr>
        <w:t xml:space="preserve"> </w:t>
      </w:r>
      <w:r w:rsidR="00ED1C14">
        <w:fldChar w:fldCharType="begin" w:fldLock="1"/>
      </w:r>
      <w:r w:rsidR="009B40B5">
        <w:instrText>ADDIN CSL_CITATION {"citationItems":[{"id":"ITEM-1","itemData":{"DOI":"10.1075/swll.5","author":[{"dropping-particle":"","family":"Ivanič","given":"Roz","non-dropping-particle":"","parse-names":false,"suffix":""}],"id":"ITEM-1","issued":{"date-parts":[["1998"]]},"publisher":"John Benjamins Publishing Company","publisher-place":"Amsterdam","title":"Writing and Identity: The Discoursal Construction of Identity in Academic Writing","type":"book"},"uris":["http://www.mendeley.com/documents/?uuid=2d975791-b8bd-4545-9763-d209b6d6ca0d","http://www.mendeley.com/documents/?uuid=d419ac4d-0ea9-470d-af18-e7c579821a20","http://www.mendeley.com/documents/?uuid=aa69c780-980a-45bc-81a7-cbee4d6e8beb"]}],"mendeley":{"formattedCitation":"(Ivanič, 1998)","plainTextFormattedCitation":"(Ivanič, 1998)","previouslyFormattedCitation":"(Ivanič, 1998)"},"properties":{"noteIndex":0},"schema":"https://github.com/citation-style-language/schema/raw/master/csl-citation.json"}</w:instrText>
      </w:r>
      <w:r w:rsidR="00ED1C14">
        <w:fldChar w:fldCharType="separate"/>
      </w:r>
      <w:r w:rsidR="00ED1C14">
        <w:rPr>
          <w:noProof/>
        </w:rPr>
        <w:t>(Ivanič, 1998)</w:t>
      </w:r>
      <w:r w:rsidR="00ED1C14">
        <w:fldChar w:fldCharType="end"/>
      </w:r>
      <w:r w:rsidRPr="00EC240B">
        <w:rPr>
          <w:color w:val="000000"/>
        </w:rPr>
        <w:t xml:space="preserve">. The </w:t>
      </w:r>
      <w:r w:rsidR="00D56EF1" w:rsidRPr="00D56EF1">
        <w:rPr>
          <w:i/>
          <w:iCs/>
          <w:color w:val="000000"/>
        </w:rPr>
        <w:t>mise-</w:t>
      </w:r>
      <w:proofErr w:type="spellStart"/>
      <w:r w:rsidR="00D56EF1" w:rsidRPr="00D56EF1">
        <w:rPr>
          <w:i/>
          <w:iCs/>
          <w:color w:val="000000"/>
        </w:rPr>
        <w:t>en</w:t>
      </w:r>
      <w:proofErr w:type="spellEnd"/>
      <w:r w:rsidR="00D56EF1" w:rsidRPr="00D56EF1">
        <w:rPr>
          <w:i/>
          <w:iCs/>
          <w:color w:val="000000"/>
        </w:rPr>
        <w:t>-</w:t>
      </w:r>
      <w:proofErr w:type="spellStart"/>
      <w:r w:rsidR="00D56EF1" w:rsidRPr="00D56EF1">
        <w:rPr>
          <w:i/>
          <w:iCs/>
          <w:color w:val="000000"/>
        </w:rPr>
        <w:t>scène</w:t>
      </w:r>
      <w:proofErr w:type="spellEnd"/>
      <w:r w:rsidRPr="00EC240B">
        <w:rPr>
          <w:color w:val="000000"/>
        </w:rPr>
        <w:t xml:space="preserve"> elements of staging, particularly the movements and acting (conventional acting) that portray the character Ningsih, can be seen in this film with her listless and sluggish expressions, as if she has no energy, and her movements during the scene where she has convulsions in bed.</w:t>
      </w:r>
    </w:p>
    <w:p w14:paraId="2831F43B" w14:textId="2AA67A5F" w:rsidR="00EC240B" w:rsidRPr="00EC240B" w:rsidRDefault="00EC240B" w:rsidP="00EC240B">
      <w:pPr>
        <w:ind w:firstLine="720"/>
        <w:jc w:val="both"/>
        <w:rPr>
          <w:color w:val="000000"/>
        </w:rPr>
      </w:pPr>
      <w:r w:rsidRPr="00EC240B">
        <w:rPr>
          <w:color w:val="000000"/>
        </w:rPr>
        <w:t xml:space="preserve">The </w:t>
      </w:r>
      <w:r w:rsidR="00D56EF1" w:rsidRPr="00D56EF1">
        <w:rPr>
          <w:i/>
          <w:iCs/>
          <w:color w:val="000000"/>
        </w:rPr>
        <w:t>mise-</w:t>
      </w:r>
      <w:proofErr w:type="spellStart"/>
      <w:r w:rsidR="00D56EF1" w:rsidRPr="00D56EF1">
        <w:rPr>
          <w:i/>
          <w:iCs/>
          <w:color w:val="000000"/>
        </w:rPr>
        <w:t>en</w:t>
      </w:r>
      <w:proofErr w:type="spellEnd"/>
      <w:r w:rsidR="00D56EF1" w:rsidRPr="00D56EF1">
        <w:rPr>
          <w:i/>
          <w:iCs/>
          <w:color w:val="000000"/>
        </w:rPr>
        <w:t>-</w:t>
      </w:r>
      <w:proofErr w:type="spellStart"/>
      <w:r w:rsidR="00D56EF1" w:rsidRPr="00D56EF1">
        <w:rPr>
          <w:i/>
          <w:iCs/>
          <w:color w:val="000000"/>
        </w:rPr>
        <w:t>scène</w:t>
      </w:r>
      <w:proofErr w:type="spellEnd"/>
      <w:r w:rsidRPr="00EC240B">
        <w:rPr>
          <w:color w:val="000000"/>
        </w:rPr>
        <w:t xml:space="preserve"> elements of costume and make-up in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xml:space="preserve"> depict the dead spirits (the characters Mbah </w:t>
      </w:r>
      <w:proofErr w:type="spellStart"/>
      <w:r w:rsidRPr="00EC240B">
        <w:rPr>
          <w:color w:val="000000"/>
        </w:rPr>
        <w:t>Parmin</w:t>
      </w:r>
      <w:proofErr w:type="spellEnd"/>
      <w:r w:rsidRPr="00EC240B">
        <w:rPr>
          <w:color w:val="000000"/>
        </w:rPr>
        <w:t>, Mbah Sum, Mbah Pon, Mbah Jiman, Mr. Agus, and other spirits) with white faces and bodies, in contrast to the living (Agus, Marni, Ningsih before her death, and the other residents). This clearly shows the audience the difference between the living and the dead. The last scene in the film also depicts the film's sad ending, in which Ningsih is seen with her face and body painted white like the spirits of the dead, implicitly explaining that Ningsih did not recover but died.</w:t>
      </w:r>
    </w:p>
    <w:p w14:paraId="0F3A532C" w14:textId="70518DBB" w:rsidR="00DD5FFF" w:rsidRPr="00EC240B" w:rsidRDefault="00EC240B" w:rsidP="0079752A">
      <w:pPr>
        <w:ind w:firstLine="720"/>
        <w:jc w:val="both"/>
        <w:rPr>
          <w:color w:val="000000"/>
        </w:rPr>
      </w:pPr>
      <w:r w:rsidRPr="00EC240B">
        <w:rPr>
          <w:color w:val="000000"/>
        </w:rPr>
        <w:t xml:space="preserve">The </w:t>
      </w:r>
      <w:r w:rsidR="00D56EF1" w:rsidRPr="00D56EF1">
        <w:rPr>
          <w:i/>
          <w:iCs/>
          <w:color w:val="000000"/>
        </w:rPr>
        <w:t>mise-</w:t>
      </w:r>
      <w:proofErr w:type="spellStart"/>
      <w:r w:rsidR="00D56EF1" w:rsidRPr="00D56EF1">
        <w:rPr>
          <w:i/>
          <w:iCs/>
          <w:color w:val="000000"/>
        </w:rPr>
        <w:t>en</w:t>
      </w:r>
      <w:proofErr w:type="spellEnd"/>
      <w:r w:rsidR="00D56EF1" w:rsidRPr="00D56EF1">
        <w:rPr>
          <w:i/>
          <w:iCs/>
          <w:color w:val="000000"/>
        </w:rPr>
        <w:t>-</w:t>
      </w:r>
      <w:proofErr w:type="spellStart"/>
      <w:r w:rsidR="00D56EF1" w:rsidRPr="00D56EF1">
        <w:rPr>
          <w:i/>
          <w:iCs/>
          <w:color w:val="000000"/>
        </w:rPr>
        <w:t>scène</w:t>
      </w:r>
      <w:proofErr w:type="spellEnd"/>
      <w:r w:rsidRPr="00EC240B">
        <w:rPr>
          <w:color w:val="000000"/>
        </w:rPr>
        <w:t xml:space="preserve"> elements of costume and other makeup in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xml:space="preserve"> depict several dead spirits hanging by ropes around their necks. Several dead spirits are seen with ropes around their necks in the forest after Agus kills Mbah </w:t>
      </w:r>
      <w:proofErr w:type="spellStart"/>
      <w:r w:rsidRPr="00EC240B">
        <w:rPr>
          <w:color w:val="000000"/>
        </w:rPr>
        <w:t>Parmin</w:t>
      </w:r>
      <w:proofErr w:type="spellEnd"/>
      <w:r w:rsidRPr="00EC240B">
        <w:rPr>
          <w:color w:val="000000"/>
        </w:rPr>
        <w:t xml:space="preserve">, and Agus's father is also seen in front of Agus's house with a rope around his neck. This represents those who have died by hanging themselves. There is intertextuality between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xml:space="preserve"> and the book </w:t>
      </w:r>
      <w:proofErr w:type="spellStart"/>
      <w:r w:rsidRPr="00372F2C">
        <w:rPr>
          <w:i/>
          <w:iCs/>
          <w:color w:val="000000"/>
        </w:rPr>
        <w:t>Pulung</w:t>
      </w:r>
      <w:proofErr w:type="spellEnd"/>
      <w:r w:rsidRPr="00372F2C">
        <w:rPr>
          <w:i/>
          <w:iCs/>
          <w:color w:val="000000"/>
        </w:rPr>
        <w:t xml:space="preserve"> </w:t>
      </w:r>
      <w:proofErr w:type="spellStart"/>
      <w:r w:rsidRPr="00372F2C">
        <w:rPr>
          <w:i/>
          <w:iCs/>
          <w:color w:val="000000"/>
        </w:rPr>
        <w:t>Gantung</w:t>
      </w:r>
      <w:proofErr w:type="spellEnd"/>
      <w:r w:rsidRPr="00EC240B">
        <w:rPr>
          <w:color w:val="000000"/>
        </w:rPr>
        <w:t xml:space="preserve"> in relation to the use of the same tool for hanging oneself, namely a rope. In the book </w:t>
      </w:r>
      <w:proofErr w:type="spellStart"/>
      <w:r w:rsidRPr="00372F2C">
        <w:rPr>
          <w:i/>
          <w:iCs/>
          <w:color w:val="000000"/>
        </w:rPr>
        <w:t>Pulung</w:t>
      </w:r>
      <w:proofErr w:type="spellEnd"/>
      <w:r w:rsidRPr="00372F2C">
        <w:rPr>
          <w:i/>
          <w:iCs/>
          <w:color w:val="000000"/>
        </w:rPr>
        <w:t xml:space="preserve"> </w:t>
      </w:r>
      <w:proofErr w:type="spellStart"/>
      <w:r w:rsidRPr="00372F2C">
        <w:rPr>
          <w:i/>
          <w:iCs/>
          <w:color w:val="000000"/>
        </w:rPr>
        <w:t>Gantung</w:t>
      </w:r>
      <w:proofErr w:type="spellEnd"/>
      <w:r w:rsidRPr="00EC240B">
        <w:rPr>
          <w:color w:val="000000"/>
        </w:rPr>
        <w:t xml:space="preserve">, not only is a rope used, but the evidence of hanging oneself is a </w:t>
      </w:r>
      <w:proofErr w:type="spellStart"/>
      <w:r w:rsidRPr="00EC240B">
        <w:rPr>
          <w:color w:val="000000"/>
        </w:rPr>
        <w:t>setagen</w:t>
      </w:r>
      <w:proofErr w:type="spellEnd"/>
      <w:r w:rsidRPr="00EC240B">
        <w:rPr>
          <w:color w:val="000000"/>
        </w:rPr>
        <w:t xml:space="preserve"> (a woman's cloth belt)</w:t>
      </w:r>
      <w:r w:rsidR="0079752A">
        <w:rPr>
          <w:color w:val="000000"/>
        </w:rPr>
        <w:t xml:space="preserve">. </w:t>
      </w:r>
      <w:r w:rsidR="00C201C0" w:rsidRPr="00C201C0">
        <w:rPr>
          <w:color w:val="000000"/>
        </w:rPr>
        <w:t xml:space="preserve">According to </w:t>
      </w:r>
      <w:r w:rsidR="00C201C0" w:rsidRPr="00C201C0">
        <w:rPr>
          <w:color w:val="000000"/>
        </w:rPr>
        <w:fldChar w:fldCharType="begin" w:fldLock="1"/>
      </w:r>
      <w:r w:rsidR="009B40B5">
        <w:rPr>
          <w:color w:val="000000"/>
        </w:rPr>
        <w:instrText>ADDIN CSL_CITATION {"citationItems":[{"id":"ITEM-1","itemData":{"author":[{"dropping-particle":"","family":"Darmaningtyas","given":"","non-dropping-particle":"","parse-names":false,"suffix":""}],"id":"ITEM-1","issued":{"date-parts":[["2002"]]},"publisher":"Salwa Press","publisher-place":"Yogyakarta","title":"Pulung gantung: menyingkap tragedi bunuh diri di Gunungkidul","type":"book"},"uris":["http://www.mendeley.com/documents/?uuid=42fe8ec3-9916-4ed9-9d1a-d6321d301aa9","http://www.mendeley.com/documents/?uuid=986ff40d-5028-4d70-8db2-6e0f088e4daf"]}],"mendeley":{"formattedCitation":"(Darmaningtyas, 2002)","manualFormatting":"Darmaningtyas (2002)","plainTextFormattedCitation":"(Darmaningtyas, 2002)","previouslyFormattedCitation":"(Darmaningtyas, 2002)"},"properties":{"noteIndex":0},"schema":"https://github.com/citation-style-language/schema/raw/master/csl-citation.json"}</w:instrText>
      </w:r>
      <w:r w:rsidR="00C201C0" w:rsidRPr="00C201C0">
        <w:rPr>
          <w:color w:val="000000"/>
        </w:rPr>
        <w:fldChar w:fldCharType="separate"/>
      </w:r>
      <w:r w:rsidR="00C201C0" w:rsidRPr="00C201C0">
        <w:rPr>
          <w:noProof/>
          <w:color w:val="000000"/>
        </w:rPr>
        <w:t>Darmaningtyas (2002)</w:t>
      </w:r>
      <w:r w:rsidR="00C201C0" w:rsidRPr="00C201C0">
        <w:rPr>
          <w:color w:val="000000"/>
        </w:rPr>
        <w:fldChar w:fldCharType="end"/>
      </w:r>
      <w:r w:rsidR="00C201C0" w:rsidRPr="00C201C0">
        <w:rPr>
          <w:color w:val="000000"/>
        </w:rPr>
        <w:t xml:space="preserve">, the mode of suicide by hanging with rope or </w:t>
      </w:r>
      <w:proofErr w:type="spellStart"/>
      <w:r w:rsidR="00C201C0" w:rsidRPr="00C201C0">
        <w:rPr>
          <w:color w:val="000000"/>
        </w:rPr>
        <w:t>setagen</w:t>
      </w:r>
      <w:proofErr w:type="spellEnd"/>
      <w:r w:rsidR="00C201C0" w:rsidRPr="00C201C0">
        <w:rPr>
          <w:color w:val="000000"/>
        </w:rPr>
        <w:t xml:space="preserve"> is not dominated by the </w:t>
      </w:r>
      <w:proofErr w:type="spellStart"/>
      <w:r w:rsidR="00C201C0" w:rsidRPr="00C201C0">
        <w:rPr>
          <w:color w:val="000000"/>
        </w:rPr>
        <w:t>pulung</w:t>
      </w:r>
      <w:proofErr w:type="spellEnd"/>
      <w:r w:rsidR="00C201C0" w:rsidRPr="00C201C0">
        <w:rPr>
          <w:color w:val="000000"/>
        </w:rPr>
        <w:t xml:space="preserve"> </w:t>
      </w:r>
      <w:proofErr w:type="spellStart"/>
      <w:r w:rsidR="00C201C0" w:rsidRPr="00C201C0">
        <w:rPr>
          <w:color w:val="000000"/>
        </w:rPr>
        <w:t>gantung</w:t>
      </w:r>
      <w:proofErr w:type="spellEnd"/>
      <w:r w:rsidR="00C201C0" w:rsidRPr="00C201C0">
        <w:rPr>
          <w:color w:val="000000"/>
        </w:rPr>
        <w:t xml:space="preserve"> myth, but rather explains the simplicity of their lives or thoughts, seeking a solution using things that are around them. Almost every house has a </w:t>
      </w:r>
      <w:proofErr w:type="spellStart"/>
      <w:r w:rsidR="00C201C0" w:rsidRPr="00C201C0">
        <w:rPr>
          <w:color w:val="000000"/>
        </w:rPr>
        <w:t>setagen</w:t>
      </w:r>
      <w:proofErr w:type="spellEnd"/>
      <w:r w:rsidR="00C201C0" w:rsidRPr="00C201C0">
        <w:rPr>
          <w:color w:val="000000"/>
        </w:rPr>
        <w:t>, so they do not need to spend money to commit suicide compared to using insecticide or pesticide.</w:t>
      </w:r>
    </w:p>
    <w:p w14:paraId="218DAA4D" w14:textId="300A85E5" w:rsidR="00EC240B" w:rsidRPr="00EC240B" w:rsidRDefault="00D56EF1" w:rsidP="00EC240B">
      <w:pPr>
        <w:ind w:firstLine="720"/>
        <w:jc w:val="both"/>
        <w:rPr>
          <w:color w:val="000000"/>
        </w:rPr>
      </w:pPr>
      <w:r w:rsidRPr="00D56EF1">
        <w:rPr>
          <w:i/>
          <w:iCs/>
          <w:color w:val="000000"/>
        </w:rPr>
        <w:t>Mise-</w:t>
      </w:r>
      <w:proofErr w:type="spellStart"/>
      <w:r w:rsidRPr="00D56EF1">
        <w:rPr>
          <w:i/>
          <w:iCs/>
          <w:color w:val="000000"/>
        </w:rPr>
        <w:t>en</w:t>
      </w:r>
      <w:proofErr w:type="spellEnd"/>
      <w:r w:rsidRPr="00D56EF1">
        <w:rPr>
          <w:i/>
          <w:iCs/>
          <w:color w:val="000000"/>
        </w:rPr>
        <w:t>-</w:t>
      </w:r>
      <w:proofErr w:type="spellStart"/>
      <w:r w:rsidRPr="00D56EF1">
        <w:rPr>
          <w:i/>
          <w:iCs/>
          <w:color w:val="000000"/>
        </w:rPr>
        <w:t>scène</w:t>
      </w:r>
      <w:proofErr w:type="spellEnd"/>
      <w:r w:rsidR="00EC240B" w:rsidRPr="00EC240B">
        <w:rPr>
          <w:color w:val="000000"/>
        </w:rPr>
        <w:t xml:space="preserve"> lighting elements in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00EC240B" w:rsidRPr="00EC240B">
        <w:rPr>
          <w:color w:val="000000"/>
        </w:rPr>
        <w:t xml:space="preserve"> related to the theme of suicide make this film have </w:t>
      </w:r>
      <w:r w:rsidR="00EC240B" w:rsidRPr="00EC240B">
        <w:rPr>
          <w:i/>
          <w:iCs/>
          <w:color w:val="000000"/>
        </w:rPr>
        <w:t>color grading</w:t>
      </w:r>
      <w:r w:rsidR="00EC240B" w:rsidRPr="00EC240B">
        <w:rPr>
          <w:color w:val="000000"/>
        </w:rPr>
        <w:t xml:space="preserve"> or dark blue colors that describe a tense, unfortunate, sad, and ironic impression in life. The side light and hard light techniques, which show the emotional facial expressions of each character, also seem to reinforce the intentions and messages that the characters in the film want to convey. </w:t>
      </w:r>
    </w:p>
    <w:p w14:paraId="4B8640C8" w14:textId="2F5FDA9C" w:rsidR="00EC240B" w:rsidRPr="00F730A5" w:rsidRDefault="00D56EF1" w:rsidP="00EC240B">
      <w:pPr>
        <w:ind w:firstLine="720"/>
        <w:jc w:val="both"/>
        <w:rPr>
          <w:color w:val="000000"/>
        </w:rPr>
      </w:pPr>
      <w:r w:rsidRPr="00D56EF1">
        <w:rPr>
          <w:i/>
          <w:iCs/>
          <w:color w:val="000000"/>
        </w:rPr>
        <w:t>Mise-</w:t>
      </w:r>
      <w:proofErr w:type="spellStart"/>
      <w:r w:rsidRPr="00D56EF1">
        <w:rPr>
          <w:i/>
          <w:iCs/>
          <w:color w:val="000000"/>
        </w:rPr>
        <w:t>en</w:t>
      </w:r>
      <w:proofErr w:type="spellEnd"/>
      <w:r w:rsidRPr="00D56EF1">
        <w:rPr>
          <w:i/>
          <w:iCs/>
          <w:color w:val="000000"/>
        </w:rPr>
        <w:t>-</w:t>
      </w:r>
      <w:proofErr w:type="spellStart"/>
      <w:r w:rsidRPr="00D56EF1">
        <w:rPr>
          <w:i/>
          <w:iCs/>
          <w:color w:val="000000"/>
        </w:rPr>
        <w:t>scène</w:t>
      </w:r>
      <w:proofErr w:type="spellEnd"/>
      <w:r w:rsidR="00EC240B" w:rsidRPr="00EC240B">
        <w:rPr>
          <w:i/>
          <w:iCs/>
          <w:color w:val="000000"/>
        </w:rPr>
        <w:t xml:space="preserve"> </w:t>
      </w:r>
      <w:r w:rsidR="00EC240B" w:rsidRPr="00EC240B">
        <w:rPr>
          <w:color w:val="000000"/>
        </w:rPr>
        <w:t xml:space="preserve">staging elements such as gestures, eyes, and facial expressions are also played well by the actors in portraying each character in the film. Agus's gestures, for example, show him always on guard at the beginning of the film, looking for people who want to commit suicide so he can kill them, panicking when Ningsih has convulsions, and crying at the end of the film. Marni's gestures show her anxiety, despair, daydreaming, and crying when thinking about Ningsih's illness. Ningsih's gestures show her lethargy and illness. The eyes and facial expressions of the characters Agus, Marni, and Ningsih are almost the same, namely sad, tearful, pitiful, unfortunate, and sad. Meanwhile, another facial expression seen from the character Mbah </w:t>
      </w:r>
      <w:proofErr w:type="spellStart"/>
      <w:r w:rsidR="00EC240B" w:rsidRPr="00EC240B">
        <w:rPr>
          <w:color w:val="000000"/>
        </w:rPr>
        <w:t>Parmin</w:t>
      </w:r>
      <w:proofErr w:type="spellEnd"/>
      <w:r w:rsidR="00EC240B" w:rsidRPr="00EC240B">
        <w:rPr>
          <w:color w:val="000000"/>
        </w:rPr>
        <w:t xml:space="preserve"> is one of annoyance and anger when he is killed by Agus. Meanwhile, the dialogue used in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00EC240B" w:rsidRPr="00EC240B">
        <w:rPr>
          <w:color w:val="000000"/>
        </w:rPr>
        <w:t xml:space="preserve"> is in Javanese language and dialect.</w:t>
      </w:r>
    </w:p>
    <w:p w14:paraId="10D5E17F" w14:textId="77777777" w:rsidR="004C0ACE" w:rsidRPr="00F730A5" w:rsidRDefault="004C0ACE"/>
    <w:p w14:paraId="783877C9" w14:textId="789A9361" w:rsidR="004C0ACE" w:rsidRPr="00F730A5" w:rsidRDefault="003F6233">
      <w:pPr>
        <w:numPr>
          <w:ilvl w:val="0"/>
          <w:numId w:val="1"/>
        </w:numPr>
        <w:tabs>
          <w:tab w:val="left" w:pos="426"/>
        </w:tabs>
        <w:ind w:left="426" w:hanging="426"/>
        <w:rPr>
          <w:b/>
        </w:rPr>
      </w:pPr>
      <w:r w:rsidRPr="00F730A5">
        <w:rPr>
          <w:b/>
        </w:rPr>
        <w:t xml:space="preserve">CONCLUSION </w:t>
      </w:r>
    </w:p>
    <w:p w14:paraId="15D7BB4B" w14:textId="734E074D" w:rsidR="00EC240B" w:rsidRPr="00EC240B" w:rsidRDefault="00EC240B" w:rsidP="00EC240B">
      <w:pPr>
        <w:ind w:firstLine="720"/>
        <w:jc w:val="both"/>
        <w:rPr>
          <w:color w:val="000000"/>
        </w:rPr>
      </w:pPr>
      <w:r w:rsidRPr="00EC240B">
        <w:rPr>
          <w:color w:val="000000"/>
        </w:rPr>
        <w:t xml:space="preserve">The 2019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i/>
          <w:iCs/>
          <w:color w:val="000000"/>
        </w:rPr>
        <w:t xml:space="preserve"> </w:t>
      </w:r>
      <w:r w:rsidRPr="00EC240B">
        <w:rPr>
          <w:color w:val="000000"/>
        </w:rPr>
        <w:t xml:space="preserve">by Ludy Oji </w:t>
      </w:r>
      <w:proofErr w:type="spellStart"/>
      <w:r w:rsidRPr="00EC240B">
        <w:rPr>
          <w:color w:val="000000"/>
        </w:rPr>
        <w:t>Prastama</w:t>
      </w:r>
      <w:proofErr w:type="spellEnd"/>
      <w:r w:rsidRPr="00EC240B">
        <w:rPr>
          <w:color w:val="000000"/>
        </w:rPr>
        <w:t xml:space="preserve"> and the 2002 book </w:t>
      </w:r>
      <w:proofErr w:type="spellStart"/>
      <w:r w:rsidRPr="00EC240B">
        <w:rPr>
          <w:i/>
          <w:iCs/>
          <w:color w:val="000000"/>
        </w:rPr>
        <w:t>Pulung</w:t>
      </w:r>
      <w:proofErr w:type="spellEnd"/>
      <w:r w:rsidRPr="00EC240B">
        <w:rPr>
          <w:i/>
          <w:iCs/>
          <w:color w:val="000000"/>
        </w:rPr>
        <w:t xml:space="preserve"> </w:t>
      </w:r>
      <w:proofErr w:type="spellStart"/>
      <w:r w:rsidRPr="00EC240B">
        <w:rPr>
          <w:i/>
          <w:iCs/>
          <w:color w:val="000000"/>
        </w:rPr>
        <w:t>Gantung</w:t>
      </w:r>
      <w:proofErr w:type="spellEnd"/>
      <w:r w:rsidRPr="00EC240B">
        <w:rPr>
          <w:i/>
          <w:iCs/>
          <w:color w:val="000000"/>
        </w:rPr>
        <w:t xml:space="preserve">: </w:t>
      </w:r>
      <w:proofErr w:type="spellStart"/>
      <w:r w:rsidRPr="00EC240B">
        <w:rPr>
          <w:i/>
          <w:iCs/>
          <w:color w:val="000000"/>
        </w:rPr>
        <w:t>Menyingkap</w:t>
      </w:r>
      <w:proofErr w:type="spellEnd"/>
      <w:r w:rsidRPr="00EC240B">
        <w:rPr>
          <w:i/>
          <w:iCs/>
          <w:color w:val="000000"/>
        </w:rPr>
        <w:t xml:space="preserve"> </w:t>
      </w:r>
      <w:proofErr w:type="spellStart"/>
      <w:r w:rsidRPr="00EC240B">
        <w:rPr>
          <w:i/>
          <w:iCs/>
          <w:color w:val="000000"/>
        </w:rPr>
        <w:t>Tragedi</w:t>
      </w:r>
      <w:proofErr w:type="spellEnd"/>
      <w:r w:rsidRPr="00EC240B">
        <w:rPr>
          <w:i/>
          <w:iCs/>
          <w:color w:val="000000"/>
        </w:rPr>
        <w:t xml:space="preserve"> </w:t>
      </w:r>
      <w:proofErr w:type="spellStart"/>
      <w:r w:rsidRPr="00EC240B">
        <w:rPr>
          <w:i/>
          <w:iCs/>
          <w:color w:val="000000"/>
        </w:rPr>
        <w:t>Bunuh</w:t>
      </w:r>
      <w:proofErr w:type="spellEnd"/>
      <w:r w:rsidRPr="00EC240B">
        <w:rPr>
          <w:i/>
          <w:iCs/>
          <w:color w:val="000000"/>
        </w:rPr>
        <w:t xml:space="preserve"> Diri di </w:t>
      </w:r>
      <w:proofErr w:type="spellStart"/>
      <w:r w:rsidRPr="00EC240B">
        <w:rPr>
          <w:i/>
          <w:iCs/>
          <w:color w:val="000000"/>
        </w:rPr>
        <w:t>Gunungkidul</w:t>
      </w:r>
      <w:proofErr w:type="spellEnd"/>
      <w:r w:rsidRPr="00EC240B">
        <w:rPr>
          <w:i/>
          <w:iCs/>
          <w:color w:val="000000"/>
        </w:rPr>
        <w:t xml:space="preserve"> </w:t>
      </w:r>
      <w:r w:rsidRPr="00EC240B">
        <w:rPr>
          <w:color w:val="000000"/>
        </w:rPr>
        <w:t xml:space="preserve">by </w:t>
      </w:r>
      <w:proofErr w:type="spellStart"/>
      <w:r w:rsidRPr="00EC240B">
        <w:rPr>
          <w:color w:val="000000"/>
        </w:rPr>
        <w:t>Darmaningtyas</w:t>
      </w:r>
      <w:proofErr w:type="spellEnd"/>
      <w:r w:rsidRPr="00EC240B">
        <w:rPr>
          <w:color w:val="000000"/>
        </w:rPr>
        <w:t xml:space="preserve"> are related to each other through </w:t>
      </w:r>
      <w:r w:rsidRPr="00EC240B">
        <w:rPr>
          <w:i/>
          <w:iCs/>
          <w:color w:val="000000"/>
        </w:rPr>
        <w:t xml:space="preserve">optional intertextuality. Optional intertextuality </w:t>
      </w:r>
      <w:r w:rsidRPr="00EC240B">
        <w:rPr>
          <w:color w:val="000000"/>
        </w:rPr>
        <w:t>occurs when a new work does not require knowledge of the previous work, but enriches the meaning if the reader or viewer is familiar with it. In addition, there are indications of intentionality in the selection of themes, motifs, and intersecting discourses.</w:t>
      </w:r>
    </w:p>
    <w:p w14:paraId="1038DA08" w14:textId="47245711" w:rsidR="00EC240B" w:rsidRPr="00EC240B" w:rsidRDefault="00EC240B" w:rsidP="00EC240B">
      <w:pPr>
        <w:ind w:firstLine="720"/>
        <w:jc w:val="both"/>
        <w:rPr>
          <w:color w:val="000000"/>
        </w:rPr>
      </w:pPr>
      <w:r w:rsidRPr="00EC240B">
        <w:rPr>
          <w:color w:val="000000"/>
        </w:rPr>
        <w:t xml:space="preserve">In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xml:space="preserve"> by Ludy Oji </w:t>
      </w:r>
      <w:proofErr w:type="spellStart"/>
      <w:r w:rsidRPr="00EC240B">
        <w:rPr>
          <w:color w:val="000000"/>
        </w:rPr>
        <w:t>Prastama</w:t>
      </w:r>
      <w:proofErr w:type="spellEnd"/>
      <w:r w:rsidRPr="00EC240B">
        <w:rPr>
          <w:color w:val="000000"/>
        </w:rPr>
        <w:t xml:space="preserve">, which raises the themes of suicide, the cultural myth of </w:t>
      </w:r>
      <w:proofErr w:type="spellStart"/>
      <w:r w:rsidRPr="00EC240B">
        <w:rPr>
          <w:color w:val="000000"/>
        </w:rPr>
        <w:t>pulung</w:t>
      </w:r>
      <w:proofErr w:type="spellEnd"/>
      <w:r w:rsidRPr="00EC240B">
        <w:rPr>
          <w:color w:val="000000"/>
        </w:rPr>
        <w:t xml:space="preserve"> </w:t>
      </w:r>
      <w:proofErr w:type="spellStart"/>
      <w:r w:rsidRPr="00EC240B">
        <w:rPr>
          <w:color w:val="000000"/>
        </w:rPr>
        <w:t>gantung</w:t>
      </w:r>
      <w:proofErr w:type="spellEnd"/>
      <w:r w:rsidRPr="00EC240B">
        <w:rPr>
          <w:color w:val="000000"/>
        </w:rPr>
        <w:t xml:space="preserve">, and social conditions in </w:t>
      </w:r>
      <w:proofErr w:type="spellStart"/>
      <w:r w:rsidRPr="00EC240B">
        <w:rPr>
          <w:color w:val="000000"/>
        </w:rPr>
        <w:t>Gunungkidul</w:t>
      </w:r>
      <w:proofErr w:type="spellEnd"/>
      <w:r w:rsidRPr="00EC240B">
        <w:rPr>
          <w:color w:val="000000"/>
        </w:rPr>
        <w:t xml:space="preserve">, there is a clear alignment with the themes in the book </w:t>
      </w:r>
      <w:proofErr w:type="spellStart"/>
      <w:r w:rsidRPr="00372F2C">
        <w:rPr>
          <w:i/>
          <w:iCs/>
          <w:color w:val="000000"/>
        </w:rPr>
        <w:t>Pulung</w:t>
      </w:r>
      <w:proofErr w:type="spellEnd"/>
      <w:r w:rsidRPr="00372F2C">
        <w:rPr>
          <w:i/>
          <w:iCs/>
          <w:color w:val="000000"/>
        </w:rPr>
        <w:t xml:space="preserve"> </w:t>
      </w:r>
      <w:proofErr w:type="spellStart"/>
      <w:r w:rsidRPr="00372F2C">
        <w:rPr>
          <w:i/>
          <w:iCs/>
          <w:color w:val="000000"/>
        </w:rPr>
        <w:t>Gantung</w:t>
      </w:r>
      <w:proofErr w:type="spellEnd"/>
      <w:r w:rsidRPr="00372F2C">
        <w:rPr>
          <w:i/>
          <w:iCs/>
          <w:color w:val="000000"/>
        </w:rPr>
        <w:t xml:space="preserve">: Uncovering the Suicide Tragedy in </w:t>
      </w:r>
      <w:proofErr w:type="spellStart"/>
      <w:r w:rsidRPr="00372F2C">
        <w:rPr>
          <w:i/>
          <w:iCs/>
          <w:color w:val="000000"/>
        </w:rPr>
        <w:t>Gunungkidul</w:t>
      </w:r>
      <w:proofErr w:type="spellEnd"/>
      <w:r w:rsidRPr="00EC240B">
        <w:rPr>
          <w:color w:val="000000"/>
        </w:rPr>
        <w:t xml:space="preserve"> by </w:t>
      </w:r>
      <w:proofErr w:type="spellStart"/>
      <w:r w:rsidRPr="00EC240B">
        <w:rPr>
          <w:color w:val="000000"/>
        </w:rPr>
        <w:t>Darmaningtyas</w:t>
      </w:r>
      <w:proofErr w:type="spellEnd"/>
      <w:r w:rsidRPr="00EC240B">
        <w:rPr>
          <w:color w:val="000000"/>
        </w:rPr>
        <w:t xml:space="preserve">. If the audience of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xml:space="preserve"> is already familiar with </w:t>
      </w:r>
      <w:proofErr w:type="spellStart"/>
      <w:r w:rsidRPr="00EC240B">
        <w:rPr>
          <w:color w:val="000000"/>
        </w:rPr>
        <w:t>Darmaningtyas</w:t>
      </w:r>
      <w:proofErr w:type="spellEnd"/>
      <w:r w:rsidRPr="00EC240B">
        <w:rPr>
          <w:color w:val="000000"/>
        </w:rPr>
        <w:t xml:space="preserve">' analysis in the book </w:t>
      </w:r>
      <w:proofErr w:type="spellStart"/>
      <w:r w:rsidRPr="00372F2C">
        <w:rPr>
          <w:i/>
          <w:iCs/>
          <w:color w:val="000000"/>
        </w:rPr>
        <w:t>Pulung</w:t>
      </w:r>
      <w:proofErr w:type="spellEnd"/>
      <w:r w:rsidRPr="00372F2C">
        <w:rPr>
          <w:i/>
          <w:iCs/>
          <w:color w:val="000000"/>
        </w:rPr>
        <w:t xml:space="preserve"> </w:t>
      </w:r>
      <w:proofErr w:type="spellStart"/>
      <w:r w:rsidRPr="00372F2C">
        <w:rPr>
          <w:i/>
          <w:iCs/>
          <w:color w:val="000000"/>
        </w:rPr>
        <w:t>Gantung</w:t>
      </w:r>
      <w:proofErr w:type="spellEnd"/>
      <w:r w:rsidRPr="00EC240B">
        <w:rPr>
          <w:color w:val="000000"/>
        </w:rPr>
        <w:t xml:space="preserve"> regarding social determinants, structural poverty, and cultural myths, then their experience of watching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xml:space="preserve"> can be enriched—but it is not necessary to understand the text in the book </w:t>
      </w:r>
      <w:proofErr w:type="spellStart"/>
      <w:r w:rsidRPr="00372F2C">
        <w:rPr>
          <w:i/>
          <w:iCs/>
          <w:color w:val="000000"/>
        </w:rPr>
        <w:t>Pulung</w:t>
      </w:r>
      <w:proofErr w:type="spellEnd"/>
      <w:r w:rsidRPr="00372F2C">
        <w:rPr>
          <w:i/>
          <w:iCs/>
          <w:color w:val="000000"/>
        </w:rPr>
        <w:t xml:space="preserve"> </w:t>
      </w:r>
      <w:proofErr w:type="spellStart"/>
      <w:r w:rsidRPr="00372F2C">
        <w:rPr>
          <w:i/>
          <w:iCs/>
          <w:color w:val="000000"/>
        </w:rPr>
        <w:t>Gantung</w:t>
      </w:r>
      <w:proofErr w:type="spellEnd"/>
      <w:r w:rsidRPr="00EC240B">
        <w:rPr>
          <w:color w:val="000000"/>
        </w:rPr>
        <w:t xml:space="preserve">. Viewers can still enjoy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xml:space="preserve"> without having to understand the book </w:t>
      </w:r>
      <w:proofErr w:type="spellStart"/>
      <w:r w:rsidRPr="00372F2C">
        <w:rPr>
          <w:i/>
          <w:iCs/>
          <w:color w:val="000000"/>
        </w:rPr>
        <w:t>Pulung</w:t>
      </w:r>
      <w:proofErr w:type="spellEnd"/>
      <w:r w:rsidRPr="00372F2C">
        <w:rPr>
          <w:i/>
          <w:iCs/>
          <w:color w:val="000000"/>
        </w:rPr>
        <w:t xml:space="preserve"> </w:t>
      </w:r>
      <w:proofErr w:type="spellStart"/>
      <w:r w:rsidRPr="00372F2C">
        <w:rPr>
          <w:i/>
          <w:iCs/>
          <w:color w:val="000000"/>
        </w:rPr>
        <w:t>Gantung</w:t>
      </w:r>
      <w:proofErr w:type="spellEnd"/>
      <w:r w:rsidRPr="00EC240B">
        <w:rPr>
          <w:color w:val="000000"/>
        </w:rPr>
        <w:t xml:space="preserve">. The relationship between the short film and the book reveals thematic and discursive connections, rather than narrative dependencies that refer to dependence on the structure and plot of a narrative. The optional intertextuality between the two texts can be found in four aspects, namely the myth of </w:t>
      </w:r>
      <w:proofErr w:type="spellStart"/>
      <w:r w:rsidRPr="00EC240B">
        <w:rPr>
          <w:color w:val="000000"/>
        </w:rPr>
        <w:t>pulung</w:t>
      </w:r>
      <w:proofErr w:type="spellEnd"/>
      <w:r w:rsidRPr="00EC240B">
        <w:rPr>
          <w:color w:val="000000"/>
        </w:rPr>
        <w:t xml:space="preserve"> </w:t>
      </w:r>
      <w:proofErr w:type="spellStart"/>
      <w:r w:rsidRPr="00EC240B">
        <w:rPr>
          <w:color w:val="000000"/>
        </w:rPr>
        <w:t>gantung</w:t>
      </w:r>
      <w:proofErr w:type="spellEnd"/>
      <w:r w:rsidRPr="00EC240B">
        <w:rPr>
          <w:color w:val="000000"/>
        </w:rPr>
        <w:t>, the issue of poverty or economic pressure, living alone in old age, and chronic illness.</w:t>
      </w:r>
    </w:p>
    <w:p w14:paraId="4DA6D51E" w14:textId="06A7DA41" w:rsidR="004C0ACE" w:rsidRPr="00963582" w:rsidRDefault="00EC240B" w:rsidP="00963582">
      <w:pPr>
        <w:ind w:firstLine="720"/>
        <w:jc w:val="both"/>
        <w:rPr>
          <w:color w:val="000000"/>
        </w:rPr>
      </w:pPr>
      <w:r w:rsidRPr="00EC240B">
        <w:rPr>
          <w:color w:val="000000"/>
        </w:rPr>
        <w:t xml:space="preserve">Various aspects and elements of </w:t>
      </w:r>
      <w:r w:rsidR="00D56EF1" w:rsidRPr="00D56EF1">
        <w:rPr>
          <w:i/>
          <w:iCs/>
          <w:color w:val="000000"/>
        </w:rPr>
        <w:t>mise-</w:t>
      </w:r>
      <w:proofErr w:type="spellStart"/>
      <w:r w:rsidR="00D56EF1" w:rsidRPr="00D56EF1">
        <w:rPr>
          <w:i/>
          <w:iCs/>
          <w:color w:val="000000"/>
        </w:rPr>
        <w:t>en</w:t>
      </w:r>
      <w:proofErr w:type="spellEnd"/>
      <w:r w:rsidR="00D56EF1" w:rsidRPr="00D56EF1">
        <w:rPr>
          <w:i/>
          <w:iCs/>
          <w:color w:val="000000"/>
        </w:rPr>
        <w:t>-</w:t>
      </w:r>
      <w:proofErr w:type="spellStart"/>
      <w:r w:rsidR="00D56EF1" w:rsidRPr="00D56EF1">
        <w:rPr>
          <w:i/>
          <w:iCs/>
          <w:color w:val="000000"/>
        </w:rPr>
        <w:t>scène</w:t>
      </w:r>
      <w:proofErr w:type="spellEnd"/>
      <w:r w:rsidRPr="00EC240B">
        <w:rPr>
          <w:color w:val="000000"/>
        </w:rPr>
        <w:t xml:space="preserve"> in the short film </w:t>
      </w:r>
      <w:proofErr w:type="spellStart"/>
      <w:r w:rsidR="002D3C8A" w:rsidRPr="002D3C8A">
        <w:rPr>
          <w:i/>
          <w:iCs/>
          <w:color w:val="000000"/>
        </w:rPr>
        <w:t>Lamun</w:t>
      </w:r>
      <w:proofErr w:type="spellEnd"/>
      <w:r w:rsidR="002D3C8A" w:rsidRPr="002D3C8A">
        <w:rPr>
          <w:i/>
          <w:iCs/>
          <w:color w:val="000000"/>
        </w:rPr>
        <w:t xml:space="preserve"> </w:t>
      </w:r>
      <w:proofErr w:type="spellStart"/>
      <w:r w:rsidR="002D3C8A" w:rsidRPr="002D3C8A">
        <w:rPr>
          <w:i/>
          <w:iCs/>
          <w:color w:val="000000"/>
        </w:rPr>
        <w:t>Sumelang</w:t>
      </w:r>
      <w:proofErr w:type="spellEnd"/>
      <w:r w:rsidRPr="00EC240B">
        <w:rPr>
          <w:color w:val="000000"/>
        </w:rPr>
        <w:t xml:space="preserve"> also support the explanation of the connection between the two texts. The </w:t>
      </w:r>
      <w:r w:rsidR="00D56EF1" w:rsidRPr="00D56EF1">
        <w:rPr>
          <w:i/>
          <w:iCs/>
          <w:color w:val="000000"/>
        </w:rPr>
        <w:t>mise-</w:t>
      </w:r>
      <w:proofErr w:type="spellStart"/>
      <w:r w:rsidR="00D56EF1" w:rsidRPr="00D56EF1">
        <w:rPr>
          <w:i/>
          <w:iCs/>
          <w:color w:val="000000"/>
        </w:rPr>
        <w:t>en</w:t>
      </w:r>
      <w:proofErr w:type="spellEnd"/>
      <w:r w:rsidR="00D56EF1" w:rsidRPr="00D56EF1">
        <w:rPr>
          <w:i/>
          <w:iCs/>
          <w:color w:val="000000"/>
        </w:rPr>
        <w:t>-</w:t>
      </w:r>
      <w:proofErr w:type="spellStart"/>
      <w:r w:rsidR="00D56EF1" w:rsidRPr="00D56EF1">
        <w:rPr>
          <w:i/>
          <w:iCs/>
          <w:color w:val="000000"/>
        </w:rPr>
        <w:t>scène</w:t>
      </w:r>
      <w:proofErr w:type="spellEnd"/>
      <w:r w:rsidRPr="00EC240B">
        <w:rPr>
          <w:color w:val="000000"/>
        </w:rPr>
        <w:t xml:space="preserve"> that most supports this short film is the aspects of setting, costume, and makeup. These supporting aspects further strengthen the depth and background of each character.</w:t>
      </w:r>
    </w:p>
    <w:p w14:paraId="144AC3EE" w14:textId="451F01C6" w:rsidR="004C0ACE" w:rsidRPr="00F730A5" w:rsidRDefault="003F6233">
      <w:pPr>
        <w:rPr>
          <w:b/>
        </w:rPr>
      </w:pPr>
      <w:r w:rsidRPr="00F730A5">
        <w:rPr>
          <w:b/>
          <w:color w:val="000000"/>
        </w:rPr>
        <w:t>REFERENCES</w:t>
      </w:r>
    </w:p>
    <w:p w14:paraId="7BC58677" w14:textId="0F0AE0B0" w:rsidR="009B40B5" w:rsidRPr="009B40B5" w:rsidRDefault="006B59DE" w:rsidP="009B40B5">
      <w:pPr>
        <w:widowControl w:val="0"/>
        <w:autoSpaceDE w:val="0"/>
        <w:autoSpaceDN w:val="0"/>
        <w:adjustRightInd w:val="0"/>
        <w:ind w:left="480" w:hanging="480"/>
        <w:jc w:val="both"/>
        <w:rPr>
          <w:noProof/>
          <w:sz w:val="18"/>
          <w:szCs w:val="24"/>
        </w:rPr>
      </w:pPr>
      <w:r>
        <w:rPr>
          <w:color w:val="000000"/>
          <w:sz w:val="18"/>
          <w:szCs w:val="18"/>
        </w:rPr>
        <w:fldChar w:fldCharType="begin" w:fldLock="1"/>
      </w:r>
      <w:r>
        <w:rPr>
          <w:color w:val="000000"/>
          <w:sz w:val="18"/>
          <w:szCs w:val="18"/>
        </w:rPr>
        <w:instrText xml:space="preserve">ADDIN Mendeley Bibliography CSL_BIBLIOGRAPHY </w:instrText>
      </w:r>
      <w:r>
        <w:rPr>
          <w:color w:val="000000"/>
          <w:sz w:val="18"/>
          <w:szCs w:val="18"/>
        </w:rPr>
        <w:fldChar w:fldCharType="separate"/>
      </w:r>
      <w:r w:rsidR="009B40B5" w:rsidRPr="009B40B5">
        <w:rPr>
          <w:noProof/>
          <w:sz w:val="18"/>
          <w:szCs w:val="24"/>
        </w:rPr>
        <w:t xml:space="preserve">Aragay, M. (2005). </w:t>
      </w:r>
      <w:r w:rsidR="009B40B5" w:rsidRPr="009B40B5">
        <w:rPr>
          <w:i/>
          <w:iCs/>
          <w:noProof/>
          <w:sz w:val="18"/>
          <w:szCs w:val="24"/>
        </w:rPr>
        <w:t>Books in Motion: Adaptation, Intertextuality, Authorship</w:t>
      </w:r>
      <w:r w:rsidR="009B40B5" w:rsidRPr="009B40B5">
        <w:rPr>
          <w:noProof/>
          <w:sz w:val="18"/>
          <w:szCs w:val="24"/>
        </w:rPr>
        <w:t>. Rodopi.</w:t>
      </w:r>
    </w:p>
    <w:p w14:paraId="63C47D0D" w14:textId="77777777" w:rsidR="009B40B5" w:rsidRPr="009B40B5" w:rsidRDefault="009B40B5" w:rsidP="009B40B5">
      <w:pPr>
        <w:widowControl w:val="0"/>
        <w:autoSpaceDE w:val="0"/>
        <w:autoSpaceDN w:val="0"/>
        <w:adjustRightInd w:val="0"/>
        <w:ind w:left="480" w:hanging="480"/>
        <w:jc w:val="both"/>
        <w:rPr>
          <w:noProof/>
          <w:sz w:val="18"/>
          <w:szCs w:val="24"/>
        </w:rPr>
      </w:pPr>
      <w:r w:rsidRPr="009B40B5">
        <w:rPr>
          <w:noProof/>
          <w:sz w:val="18"/>
          <w:szCs w:val="24"/>
        </w:rPr>
        <w:t xml:space="preserve">Bordwell, D., &amp; Thompson, K. (2008). </w:t>
      </w:r>
      <w:r w:rsidRPr="009B40B5">
        <w:rPr>
          <w:i/>
          <w:iCs/>
          <w:noProof/>
          <w:sz w:val="18"/>
          <w:szCs w:val="24"/>
        </w:rPr>
        <w:t>Film Art: An Introduction</w:t>
      </w:r>
      <w:r w:rsidRPr="009B40B5">
        <w:rPr>
          <w:noProof/>
          <w:sz w:val="18"/>
          <w:szCs w:val="24"/>
        </w:rPr>
        <w:t>. McGraw Hill.</w:t>
      </w:r>
    </w:p>
    <w:p w14:paraId="03FE5A21" w14:textId="77777777" w:rsidR="009B40B5" w:rsidRPr="009B40B5" w:rsidRDefault="009B40B5" w:rsidP="009B40B5">
      <w:pPr>
        <w:widowControl w:val="0"/>
        <w:autoSpaceDE w:val="0"/>
        <w:autoSpaceDN w:val="0"/>
        <w:adjustRightInd w:val="0"/>
        <w:ind w:left="480" w:hanging="480"/>
        <w:jc w:val="both"/>
        <w:rPr>
          <w:noProof/>
          <w:sz w:val="18"/>
          <w:szCs w:val="24"/>
        </w:rPr>
      </w:pPr>
      <w:r w:rsidRPr="009B40B5">
        <w:rPr>
          <w:noProof/>
          <w:sz w:val="18"/>
          <w:szCs w:val="24"/>
        </w:rPr>
        <w:t xml:space="preserve">Darmaningtyas. (2002). </w:t>
      </w:r>
      <w:r w:rsidRPr="009B40B5">
        <w:rPr>
          <w:i/>
          <w:iCs/>
          <w:noProof/>
          <w:sz w:val="18"/>
          <w:szCs w:val="24"/>
        </w:rPr>
        <w:t>Pulung gantung: menyingkap tragedi bunuh diri di Gunungkidul</w:t>
      </w:r>
      <w:r w:rsidRPr="009B40B5">
        <w:rPr>
          <w:noProof/>
          <w:sz w:val="18"/>
          <w:szCs w:val="24"/>
        </w:rPr>
        <w:t>. Salwa Press.</w:t>
      </w:r>
    </w:p>
    <w:p w14:paraId="4FD467DF" w14:textId="77777777" w:rsidR="009B40B5" w:rsidRPr="009B40B5" w:rsidRDefault="009B40B5" w:rsidP="009B40B5">
      <w:pPr>
        <w:widowControl w:val="0"/>
        <w:autoSpaceDE w:val="0"/>
        <w:autoSpaceDN w:val="0"/>
        <w:adjustRightInd w:val="0"/>
        <w:ind w:left="480" w:hanging="480"/>
        <w:jc w:val="both"/>
        <w:rPr>
          <w:noProof/>
          <w:sz w:val="18"/>
          <w:szCs w:val="24"/>
        </w:rPr>
      </w:pPr>
      <w:r w:rsidRPr="009B40B5">
        <w:rPr>
          <w:noProof/>
          <w:sz w:val="18"/>
          <w:szCs w:val="24"/>
        </w:rPr>
        <w:t xml:space="preserve">Fatimah, S. (2025, October). Kasus Bunuh Diri di DIY Naik 20%, Gunung Kidul Paling Banyak. </w:t>
      </w:r>
      <w:r w:rsidRPr="009B40B5">
        <w:rPr>
          <w:i/>
          <w:iCs/>
          <w:noProof/>
          <w:sz w:val="18"/>
          <w:szCs w:val="24"/>
        </w:rPr>
        <w:t>Tirto.Id</w:t>
      </w:r>
      <w:r w:rsidRPr="009B40B5">
        <w:rPr>
          <w:noProof/>
          <w:sz w:val="18"/>
          <w:szCs w:val="24"/>
        </w:rPr>
        <w:t>.</w:t>
      </w:r>
    </w:p>
    <w:p w14:paraId="22A1C595" w14:textId="77777777" w:rsidR="009B40B5" w:rsidRPr="009B40B5" w:rsidRDefault="009B40B5" w:rsidP="009B40B5">
      <w:pPr>
        <w:widowControl w:val="0"/>
        <w:autoSpaceDE w:val="0"/>
        <w:autoSpaceDN w:val="0"/>
        <w:adjustRightInd w:val="0"/>
        <w:ind w:left="480" w:hanging="480"/>
        <w:jc w:val="both"/>
        <w:rPr>
          <w:noProof/>
          <w:sz w:val="18"/>
          <w:szCs w:val="24"/>
        </w:rPr>
      </w:pPr>
      <w:r w:rsidRPr="009B40B5">
        <w:rPr>
          <w:noProof/>
          <w:sz w:val="18"/>
          <w:szCs w:val="24"/>
        </w:rPr>
        <w:t xml:space="preserve">Fitzsimmons, J. (2013). </w:t>
      </w:r>
      <w:r w:rsidRPr="009B40B5">
        <w:rPr>
          <w:i/>
          <w:iCs/>
          <w:noProof/>
          <w:sz w:val="18"/>
          <w:szCs w:val="24"/>
        </w:rPr>
        <w:t>Romantic and Contemporary Poetry: Readings</w:t>
      </w:r>
      <w:r w:rsidRPr="009B40B5">
        <w:rPr>
          <w:noProof/>
          <w:sz w:val="18"/>
          <w:szCs w:val="24"/>
        </w:rPr>
        <w:t>. CQUniversity.</w:t>
      </w:r>
    </w:p>
    <w:p w14:paraId="3325AA5D" w14:textId="77777777" w:rsidR="009B40B5" w:rsidRPr="009B40B5" w:rsidRDefault="009B40B5" w:rsidP="009B40B5">
      <w:pPr>
        <w:widowControl w:val="0"/>
        <w:autoSpaceDE w:val="0"/>
        <w:autoSpaceDN w:val="0"/>
        <w:adjustRightInd w:val="0"/>
        <w:ind w:left="480" w:hanging="480"/>
        <w:jc w:val="both"/>
        <w:rPr>
          <w:noProof/>
          <w:sz w:val="18"/>
          <w:szCs w:val="24"/>
        </w:rPr>
      </w:pPr>
      <w:r w:rsidRPr="009B40B5">
        <w:rPr>
          <w:noProof/>
          <w:sz w:val="18"/>
          <w:szCs w:val="24"/>
        </w:rPr>
        <w:t xml:space="preserve">Iampolski, M. (1998). </w:t>
      </w:r>
      <w:r w:rsidRPr="009B40B5">
        <w:rPr>
          <w:i/>
          <w:iCs/>
          <w:noProof/>
          <w:sz w:val="18"/>
          <w:szCs w:val="24"/>
        </w:rPr>
        <w:t>The Memory of Tiresias: Intertextuality and Film</w:t>
      </w:r>
      <w:r w:rsidRPr="009B40B5">
        <w:rPr>
          <w:noProof/>
          <w:sz w:val="18"/>
          <w:szCs w:val="24"/>
        </w:rPr>
        <w:t>. University of California Press.</w:t>
      </w:r>
    </w:p>
    <w:p w14:paraId="47058555" w14:textId="77777777" w:rsidR="009B40B5" w:rsidRPr="009B40B5" w:rsidRDefault="009B40B5" w:rsidP="009B40B5">
      <w:pPr>
        <w:widowControl w:val="0"/>
        <w:autoSpaceDE w:val="0"/>
        <w:autoSpaceDN w:val="0"/>
        <w:adjustRightInd w:val="0"/>
        <w:ind w:left="480" w:hanging="480"/>
        <w:jc w:val="both"/>
        <w:rPr>
          <w:noProof/>
          <w:sz w:val="18"/>
          <w:szCs w:val="24"/>
        </w:rPr>
      </w:pPr>
      <w:r w:rsidRPr="009B40B5">
        <w:rPr>
          <w:noProof/>
          <w:sz w:val="18"/>
          <w:szCs w:val="24"/>
        </w:rPr>
        <w:t xml:space="preserve">Ivanič, R. (1998). </w:t>
      </w:r>
      <w:r w:rsidRPr="009B40B5">
        <w:rPr>
          <w:i/>
          <w:iCs/>
          <w:noProof/>
          <w:sz w:val="18"/>
          <w:szCs w:val="24"/>
        </w:rPr>
        <w:t>Writing and Identity: The Discoursal Construction of Identity in Academic Writing</w:t>
      </w:r>
      <w:r w:rsidRPr="009B40B5">
        <w:rPr>
          <w:noProof/>
          <w:sz w:val="18"/>
          <w:szCs w:val="24"/>
        </w:rPr>
        <w:t>. John Benjamins Publishing Company. https://doi.org/10.1075/swll.5</w:t>
      </w:r>
    </w:p>
    <w:p w14:paraId="39D8D5A9" w14:textId="77777777" w:rsidR="009B40B5" w:rsidRPr="009B40B5" w:rsidRDefault="009B40B5" w:rsidP="009B40B5">
      <w:pPr>
        <w:widowControl w:val="0"/>
        <w:autoSpaceDE w:val="0"/>
        <w:autoSpaceDN w:val="0"/>
        <w:adjustRightInd w:val="0"/>
        <w:ind w:left="480" w:hanging="480"/>
        <w:jc w:val="both"/>
        <w:rPr>
          <w:noProof/>
          <w:sz w:val="18"/>
          <w:szCs w:val="24"/>
        </w:rPr>
      </w:pPr>
      <w:r w:rsidRPr="009B40B5">
        <w:rPr>
          <w:noProof/>
          <w:sz w:val="18"/>
          <w:szCs w:val="24"/>
        </w:rPr>
        <w:t xml:space="preserve">Jacobmeyer, H. (1998). </w:t>
      </w:r>
      <w:r w:rsidRPr="009B40B5">
        <w:rPr>
          <w:i/>
          <w:iCs/>
          <w:noProof/>
          <w:sz w:val="18"/>
          <w:szCs w:val="24"/>
        </w:rPr>
        <w:t>Graham Swift, Ever After : a Study in Intertextuality</w:t>
      </w:r>
      <w:r w:rsidRPr="009B40B5">
        <w:rPr>
          <w:noProof/>
          <w:sz w:val="18"/>
          <w:szCs w:val="24"/>
        </w:rPr>
        <w:t>. Gwdg.De.</w:t>
      </w:r>
    </w:p>
    <w:p w14:paraId="4E898EAF" w14:textId="77777777" w:rsidR="009B40B5" w:rsidRPr="009B40B5" w:rsidRDefault="009B40B5" w:rsidP="009B40B5">
      <w:pPr>
        <w:widowControl w:val="0"/>
        <w:autoSpaceDE w:val="0"/>
        <w:autoSpaceDN w:val="0"/>
        <w:adjustRightInd w:val="0"/>
        <w:ind w:left="480" w:hanging="480"/>
        <w:jc w:val="both"/>
        <w:rPr>
          <w:noProof/>
          <w:sz w:val="18"/>
          <w:szCs w:val="24"/>
        </w:rPr>
      </w:pPr>
      <w:r w:rsidRPr="009B40B5">
        <w:rPr>
          <w:noProof/>
          <w:sz w:val="18"/>
          <w:szCs w:val="24"/>
        </w:rPr>
        <w:t xml:space="preserve">Kristeva, J. (1980). </w:t>
      </w:r>
      <w:r w:rsidRPr="009B40B5">
        <w:rPr>
          <w:i/>
          <w:iCs/>
          <w:noProof/>
          <w:sz w:val="18"/>
          <w:szCs w:val="24"/>
        </w:rPr>
        <w:t>Desire in Language: A Semiotics Approach to Language and Art</w:t>
      </w:r>
      <w:r w:rsidRPr="009B40B5">
        <w:rPr>
          <w:noProof/>
          <w:sz w:val="18"/>
          <w:szCs w:val="24"/>
        </w:rPr>
        <w:t>. Columbia University Press.</w:t>
      </w:r>
    </w:p>
    <w:p w14:paraId="0E33A4B2" w14:textId="77777777" w:rsidR="009B40B5" w:rsidRPr="009B40B5" w:rsidRDefault="009B40B5" w:rsidP="009B40B5">
      <w:pPr>
        <w:widowControl w:val="0"/>
        <w:autoSpaceDE w:val="0"/>
        <w:autoSpaceDN w:val="0"/>
        <w:adjustRightInd w:val="0"/>
        <w:ind w:left="480" w:hanging="480"/>
        <w:jc w:val="both"/>
        <w:rPr>
          <w:noProof/>
          <w:sz w:val="18"/>
          <w:szCs w:val="24"/>
        </w:rPr>
      </w:pPr>
      <w:r w:rsidRPr="009B40B5">
        <w:rPr>
          <w:noProof/>
          <w:sz w:val="18"/>
          <w:szCs w:val="24"/>
        </w:rPr>
        <w:t xml:space="preserve">Kristeva, J. (1986). Word, Dialogue and the Novel. In </w:t>
      </w:r>
      <w:r w:rsidRPr="009B40B5">
        <w:rPr>
          <w:i/>
          <w:iCs/>
          <w:noProof/>
          <w:sz w:val="18"/>
          <w:szCs w:val="24"/>
        </w:rPr>
        <w:t>The Kristeva Reader</w:t>
      </w:r>
      <w:r w:rsidRPr="009B40B5">
        <w:rPr>
          <w:noProof/>
          <w:sz w:val="18"/>
          <w:szCs w:val="24"/>
        </w:rPr>
        <w:t xml:space="preserve"> (pp. 35–61). Columbia University Press.</w:t>
      </w:r>
    </w:p>
    <w:p w14:paraId="6E420153" w14:textId="77777777" w:rsidR="009B40B5" w:rsidRPr="009B40B5" w:rsidRDefault="009B40B5" w:rsidP="009B40B5">
      <w:pPr>
        <w:widowControl w:val="0"/>
        <w:autoSpaceDE w:val="0"/>
        <w:autoSpaceDN w:val="0"/>
        <w:adjustRightInd w:val="0"/>
        <w:ind w:left="480" w:hanging="480"/>
        <w:jc w:val="both"/>
        <w:rPr>
          <w:noProof/>
          <w:sz w:val="18"/>
          <w:szCs w:val="24"/>
        </w:rPr>
      </w:pPr>
      <w:r w:rsidRPr="009B40B5">
        <w:rPr>
          <w:noProof/>
          <w:sz w:val="18"/>
          <w:szCs w:val="24"/>
        </w:rPr>
        <w:t xml:space="preserve">Raj, P. (2015). Text/Texts: Julia Kristeva’s Concept of Intertextuality. </w:t>
      </w:r>
      <w:r w:rsidRPr="009B40B5">
        <w:rPr>
          <w:i/>
          <w:iCs/>
          <w:noProof/>
          <w:sz w:val="18"/>
          <w:szCs w:val="24"/>
        </w:rPr>
        <w:t>Ars Artium</w:t>
      </w:r>
      <w:r w:rsidRPr="009B40B5">
        <w:rPr>
          <w:noProof/>
          <w:sz w:val="18"/>
          <w:szCs w:val="24"/>
        </w:rPr>
        <w:t xml:space="preserve">, </w:t>
      </w:r>
      <w:r w:rsidRPr="009B40B5">
        <w:rPr>
          <w:i/>
          <w:iCs/>
          <w:noProof/>
          <w:sz w:val="18"/>
          <w:szCs w:val="24"/>
        </w:rPr>
        <w:t>3</w:t>
      </w:r>
      <w:r w:rsidRPr="009B40B5">
        <w:rPr>
          <w:noProof/>
          <w:sz w:val="18"/>
          <w:szCs w:val="24"/>
        </w:rPr>
        <w:t>.</w:t>
      </w:r>
    </w:p>
    <w:p w14:paraId="7539C3FC" w14:textId="77777777" w:rsidR="009B40B5" w:rsidRPr="009B40B5" w:rsidRDefault="009B40B5" w:rsidP="009B40B5">
      <w:pPr>
        <w:widowControl w:val="0"/>
        <w:autoSpaceDE w:val="0"/>
        <w:autoSpaceDN w:val="0"/>
        <w:adjustRightInd w:val="0"/>
        <w:ind w:left="480" w:hanging="480"/>
        <w:jc w:val="both"/>
        <w:rPr>
          <w:noProof/>
          <w:sz w:val="18"/>
          <w:szCs w:val="24"/>
        </w:rPr>
      </w:pPr>
      <w:r w:rsidRPr="009B40B5">
        <w:rPr>
          <w:noProof/>
          <w:sz w:val="18"/>
          <w:szCs w:val="24"/>
        </w:rPr>
        <w:t xml:space="preserve">Sagita, N. S. (2025, October). Provinsi Ini Catat Kasus Bunuh Diri Terbanyak di Indonesia. </w:t>
      </w:r>
      <w:r w:rsidRPr="009B40B5">
        <w:rPr>
          <w:i/>
          <w:iCs/>
          <w:noProof/>
          <w:sz w:val="18"/>
          <w:szCs w:val="24"/>
        </w:rPr>
        <w:t>Detik.Com</w:t>
      </w:r>
      <w:r w:rsidRPr="009B40B5">
        <w:rPr>
          <w:noProof/>
          <w:sz w:val="18"/>
          <w:szCs w:val="24"/>
        </w:rPr>
        <w:t>.</w:t>
      </w:r>
    </w:p>
    <w:p w14:paraId="44209E0C" w14:textId="77777777" w:rsidR="009B40B5" w:rsidRPr="009B40B5" w:rsidRDefault="009B40B5" w:rsidP="009B40B5">
      <w:pPr>
        <w:widowControl w:val="0"/>
        <w:autoSpaceDE w:val="0"/>
        <w:autoSpaceDN w:val="0"/>
        <w:adjustRightInd w:val="0"/>
        <w:ind w:left="480" w:hanging="480"/>
        <w:jc w:val="both"/>
        <w:rPr>
          <w:noProof/>
          <w:sz w:val="18"/>
        </w:rPr>
      </w:pPr>
      <w:r w:rsidRPr="009B40B5">
        <w:rPr>
          <w:noProof/>
          <w:sz w:val="18"/>
          <w:szCs w:val="24"/>
        </w:rPr>
        <w:t xml:space="preserve">Sukmadinata, N. S. (2011). </w:t>
      </w:r>
      <w:r w:rsidRPr="009B40B5">
        <w:rPr>
          <w:i/>
          <w:iCs/>
          <w:noProof/>
          <w:sz w:val="18"/>
          <w:szCs w:val="24"/>
        </w:rPr>
        <w:t>Metode penelitian pendidikan</w:t>
      </w:r>
      <w:r w:rsidRPr="009B40B5">
        <w:rPr>
          <w:noProof/>
          <w:sz w:val="18"/>
          <w:szCs w:val="24"/>
        </w:rPr>
        <w:t>. Remaja Rosdakarya.</w:t>
      </w:r>
    </w:p>
    <w:p w14:paraId="45FDC055" w14:textId="52D28CDF" w:rsidR="004C0ACE" w:rsidRPr="00F730A5" w:rsidRDefault="006B59DE" w:rsidP="009B40B5">
      <w:pPr>
        <w:pBdr>
          <w:top w:val="nil"/>
          <w:left w:val="nil"/>
          <w:bottom w:val="nil"/>
          <w:right w:val="nil"/>
          <w:between w:val="nil"/>
        </w:pBdr>
        <w:jc w:val="both"/>
        <w:rPr>
          <w:color w:val="000000"/>
          <w:sz w:val="18"/>
          <w:szCs w:val="18"/>
        </w:rPr>
      </w:pPr>
      <w:r>
        <w:rPr>
          <w:color w:val="000000"/>
          <w:sz w:val="18"/>
          <w:szCs w:val="18"/>
        </w:rPr>
        <w:fldChar w:fldCharType="end"/>
      </w:r>
      <w:r w:rsidR="008B33DF" w:rsidRPr="00F730A5">
        <w:rPr>
          <w:color w:val="000000"/>
          <w:sz w:val="18"/>
          <w:szCs w:val="18"/>
        </w:rPr>
        <w:t xml:space="preserve"> </w:t>
      </w:r>
    </w:p>
    <w:p w14:paraId="32C84676" w14:textId="77777777" w:rsidR="004C0ACE" w:rsidRPr="00F730A5" w:rsidRDefault="004C0ACE" w:rsidP="00FC21CA">
      <w:pPr>
        <w:jc w:val="both"/>
        <w:rPr>
          <w:color w:val="000000"/>
          <w:sz w:val="18"/>
          <w:szCs w:val="18"/>
        </w:rPr>
      </w:pPr>
    </w:p>
    <w:sectPr w:rsidR="004C0ACE" w:rsidRPr="00F730A5" w:rsidSect="00DA10ED">
      <w:headerReference w:type="even" r:id="rId18"/>
      <w:headerReference w:type="default" r:id="rId19"/>
      <w:footerReference w:type="even" r:id="rId20"/>
      <w:footerReference w:type="default" r:id="rId21"/>
      <w:headerReference w:type="first" r:id="rId22"/>
      <w:footerReference w:type="first" r:id="rId23"/>
      <w:pgSz w:w="11907" w:h="16840"/>
      <w:pgMar w:top="1418" w:right="1418" w:bottom="1418" w:left="1701" w:header="1134" w:footer="1134" w:gutter="0"/>
      <w:pgNumType w:start="3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8A67F" w14:textId="77777777" w:rsidR="0082426A" w:rsidRDefault="0082426A">
      <w:r>
        <w:separator/>
      </w:r>
    </w:p>
  </w:endnote>
  <w:endnote w:type="continuationSeparator" w:id="0">
    <w:p w14:paraId="5D7B574C" w14:textId="77777777" w:rsidR="0082426A" w:rsidRDefault="00824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FE3229BE-D338-4307-82C9-BBA69C9B20BB}"/>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embedRegular r:id="rId2" w:fontKey="{BF61C351-A33A-42DA-BF18-286DDE64E3CB}"/>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embedRegular r:id="rId3" w:fontKey="{261AA46A-BF52-4A2E-A3D7-8E547F1ABFDB}"/>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4" w:fontKey="{1779A78C-B8B0-4D3F-A0C8-4F90BAC3BE56}"/>
  </w:font>
  <w:font w:name="Palatino Linotype">
    <w:panose1 w:val="02040502050505030304"/>
    <w:charset w:val="00"/>
    <w:family w:val="roman"/>
    <w:pitch w:val="variable"/>
    <w:sig w:usb0="E0000287" w:usb1="40000013" w:usb2="00000000" w:usb3="00000000" w:csb0="0000019F" w:csb1="00000000"/>
    <w:embedRegular r:id="rId5" w:fontKey="{D34EABC6-5E39-4B8F-B35D-56DC3CF4419B}"/>
    <w:embedItalic r:id="rId6" w:fontKey="{C41D4273-0AD6-414D-A6D6-EDEBE7651BC2}"/>
    <w:embedBoldItalic r:id="rId7" w:fontKey="{1D8416A1-BBD0-4E84-99CC-D850A672CE21}"/>
  </w:font>
  <w:font w:name="Georgia">
    <w:panose1 w:val="02040502050405020303"/>
    <w:charset w:val="00"/>
    <w:family w:val="roman"/>
    <w:pitch w:val="variable"/>
    <w:sig w:usb0="00000287" w:usb1="00000000" w:usb2="00000000" w:usb3="00000000" w:csb0="0000009F" w:csb1="00000000"/>
    <w:embedBoldItalic r:id="rId8" w:fontKey="{5F2110BF-533A-4372-965F-4D1D490855C5}"/>
  </w:font>
  <w:font w:name="Cambria">
    <w:altName w:val="Cambria"/>
    <w:panose1 w:val="02040503050406030204"/>
    <w:charset w:val="00"/>
    <w:family w:val="roman"/>
    <w:pitch w:val="variable"/>
    <w:sig w:usb0="E00006FF" w:usb1="420024FF" w:usb2="02000000" w:usb3="00000000" w:csb0="0000019F" w:csb1="00000000"/>
    <w:embedRegular r:id="rId9" w:fontKey="{8B81934B-CC9B-4DD3-BE49-564ED7670C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FD6BB" w14:textId="77777777" w:rsidR="004C0ACE" w:rsidRDefault="003F6233">
    <w:pPr>
      <w:pBdr>
        <w:top w:val="nil"/>
        <w:left w:val="nil"/>
        <w:bottom w:val="nil"/>
        <w:right w:val="nil"/>
        <w:between w:val="nil"/>
      </w:pBdr>
      <w:tabs>
        <w:tab w:val="left" w:pos="2992"/>
      </w:tabs>
      <w:spacing w:before="240"/>
      <w:rPr>
        <w:i/>
        <w:color w:val="000000"/>
      </w:rPr>
    </w:pPr>
    <w:r>
      <w:rPr>
        <w:i/>
        <w:color w:val="000000"/>
      </w:rPr>
      <w:t xml:space="preserve">LITERA: </w:t>
    </w:r>
    <w:proofErr w:type="spellStart"/>
    <w:r>
      <w:rPr>
        <w:i/>
        <w:color w:val="000000"/>
      </w:rPr>
      <w:t>Jurnal</w:t>
    </w:r>
    <w:proofErr w:type="spellEnd"/>
    <w:r>
      <w:rPr>
        <w:i/>
        <w:color w:val="000000"/>
      </w:rPr>
      <w:t xml:space="preserve"> Bahasa dan Sastra. </w:t>
    </w:r>
    <w:proofErr w:type="gramStart"/>
    <w:r>
      <w:rPr>
        <w:i/>
        <w:color w:val="000000"/>
      </w:rPr>
      <w:t>Vol. ,</w:t>
    </w:r>
    <w:proofErr w:type="gramEnd"/>
    <w:r>
      <w:rPr>
        <w:i/>
        <w:color w:val="000000"/>
      </w:rPr>
      <w:t xml:space="preserve"> No. , March 2024:  xx - xx</w:t>
    </w:r>
    <w:r>
      <w:rPr>
        <w:noProof/>
        <w:lang w:eastAsia="en-US"/>
      </w:rPr>
      <mc:AlternateContent>
        <mc:Choice Requires="wpg">
          <w:drawing>
            <wp:anchor distT="0" distB="0" distL="114300" distR="114300" simplePos="0" relativeHeight="251660288" behindDoc="0" locked="0" layoutInCell="1" hidden="0" allowOverlap="1" wp14:anchorId="39F9F18C" wp14:editId="44B455DC">
              <wp:simplePos x="0" y="0"/>
              <wp:positionH relativeFrom="column">
                <wp:posOffset>1</wp:posOffset>
              </wp:positionH>
              <wp:positionV relativeFrom="paragraph">
                <wp:posOffset>114300</wp:posOffset>
              </wp:positionV>
              <wp:extent cx="5589905" cy="22225"/>
              <wp:effectExtent l="0" t="0" r="0" b="0"/>
              <wp:wrapNone/>
              <wp:docPr id="516012634" name="Konektor Panah Lurus 516012634"/>
              <wp:cNvGraphicFramePr/>
              <a:graphic xmlns:a="http://schemas.openxmlformats.org/drawingml/2006/main">
                <a:graphicData uri="http://schemas.microsoft.com/office/word/2010/wordprocessingShape">
                  <wps:wsp>
                    <wps:cNvCnPr/>
                    <wps:spPr>
                      <a:xfrm>
                        <a:off x="2555810" y="3780000"/>
                        <a:ext cx="558038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oel="http://schemas.microsoft.com/office/2019/extlst" xmlns:w16du="http://schemas.microsoft.com/office/word/2023/wordml/word16du" xmlns:w16sdtfl="http://schemas.microsoft.com/office/word/2024/wordml/sdtformatlo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5589905" cy="22225"/>
              <wp:effectExtent b="0" l="0" r="0" t="0"/>
              <wp:wrapNone/>
              <wp:docPr id="51601263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589905" cy="22225"/>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BE6EE" w14:textId="77777777" w:rsidR="004C0ACE" w:rsidRDefault="003F6233">
    <w:pPr>
      <w:pBdr>
        <w:top w:val="single" w:sz="4" w:space="1" w:color="000000"/>
        <w:left w:val="nil"/>
        <w:bottom w:val="nil"/>
        <w:right w:val="nil"/>
        <w:between w:val="nil"/>
      </w:pBdr>
      <w:tabs>
        <w:tab w:val="center" w:pos="4320"/>
        <w:tab w:val="right" w:pos="8640"/>
      </w:tabs>
      <w:jc w:val="right"/>
      <w:rPr>
        <w:i/>
        <w:color w:val="000000"/>
      </w:rPr>
    </w:pPr>
    <w:r>
      <w:rPr>
        <w:i/>
        <w:color w:val="000000"/>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DE765" w14:textId="77777777" w:rsidR="004C0ACE" w:rsidRDefault="003F6233">
    <w:pPr>
      <w:pBdr>
        <w:top w:val="single" w:sz="4" w:space="1" w:color="000000"/>
        <w:left w:val="nil"/>
        <w:bottom w:val="nil"/>
        <w:right w:val="nil"/>
        <w:between w:val="nil"/>
      </w:pBdr>
      <w:tabs>
        <w:tab w:val="center" w:pos="4320"/>
        <w:tab w:val="right" w:pos="8640"/>
      </w:tabs>
      <w:spacing w:before="240"/>
      <w:rPr>
        <w:i/>
        <w:color w:val="000000"/>
      </w:rPr>
    </w:pPr>
    <w:r>
      <w:rPr>
        <w:b/>
        <w:i/>
        <w:color w:val="000000"/>
      </w:rPr>
      <w:t>Journal homepage</w:t>
    </w:r>
    <w:r>
      <w:rPr>
        <w:i/>
        <w:color w:val="000000"/>
      </w:rPr>
      <w:t>: https://jurnal.undhirabali.ac.id/index.php/litera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1284A" w14:textId="77777777" w:rsidR="0082426A" w:rsidRDefault="0082426A">
      <w:r>
        <w:separator/>
      </w:r>
    </w:p>
  </w:footnote>
  <w:footnote w:type="continuationSeparator" w:id="0">
    <w:p w14:paraId="636F8870" w14:textId="77777777" w:rsidR="0082426A" w:rsidRDefault="00824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A5D9" w14:textId="5204328E" w:rsidR="004C0ACE" w:rsidRDefault="003F6233">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FC21CA">
      <w:rPr>
        <w:noProof/>
        <w:color w:val="000000"/>
      </w:rPr>
      <w:t>6</w:t>
    </w:r>
    <w:r>
      <w:rPr>
        <w:color w:val="000000"/>
      </w:rPr>
      <w:fldChar w:fldCharType="end"/>
    </w:r>
  </w:p>
  <w:p w14:paraId="060E4329" w14:textId="77777777" w:rsidR="004C0ACE" w:rsidRDefault="003F6233">
    <w:pPr>
      <w:pBdr>
        <w:top w:val="nil"/>
        <w:left w:val="nil"/>
        <w:bottom w:val="nil"/>
        <w:right w:val="nil"/>
        <w:between w:val="nil"/>
      </w:pBdr>
      <w:tabs>
        <w:tab w:val="right" w:pos="851"/>
        <w:tab w:val="left" w:pos="3405"/>
        <w:tab w:val="right" w:pos="8789"/>
      </w:tabs>
      <w:spacing w:after="240"/>
      <w:rPr>
        <w:color w:val="000000"/>
      </w:rPr>
    </w:pPr>
    <w:r>
      <w:rPr>
        <w:color w:val="000000"/>
      </w:rPr>
      <w:t xml:space="preserve">  </w:t>
    </w:r>
    <w:r>
      <w:rPr>
        <w:color w:val="000000"/>
      </w:rPr>
      <w:tab/>
    </w:r>
    <w:r>
      <w:rPr>
        <w:rFonts w:ascii="Noto Sans Symbols" w:eastAsia="Noto Sans Symbols" w:hAnsi="Noto Sans Symbols" w:cs="Noto Sans Symbols"/>
        <w:color w:val="000000"/>
      </w:rPr>
      <w:t>❒</w:t>
    </w:r>
    <w:r>
      <w:rPr>
        <w:color w:val="000000"/>
      </w:rPr>
      <w:t xml:space="preserve"> </w:t>
    </w:r>
    <w:r>
      <w:rPr>
        <w:color w:val="000000"/>
      </w:rPr>
      <w:tab/>
    </w:r>
    <w:r>
      <w:rPr>
        <w:color w:val="000000"/>
      </w:rPr>
      <w:tab/>
      <w:t xml:space="preserve">       E-ISSN: 2548-7639</w:t>
    </w:r>
    <w:r>
      <w:rPr>
        <w:noProof/>
        <w:lang w:eastAsia="en-US"/>
      </w:rPr>
      <mc:AlternateContent>
        <mc:Choice Requires="wpg">
          <w:drawing>
            <wp:anchor distT="0" distB="0" distL="114300" distR="114300" simplePos="0" relativeHeight="251659264" behindDoc="0" locked="0" layoutInCell="1" hidden="0" allowOverlap="1" wp14:anchorId="5A64EF73" wp14:editId="6D42E28B">
              <wp:simplePos x="0" y="0"/>
              <wp:positionH relativeFrom="column">
                <wp:posOffset>25401</wp:posOffset>
              </wp:positionH>
              <wp:positionV relativeFrom="paragraph">
                <wp:posOffset>152400</wp:posOffset>
              </wp:positionV>
              <wp:extent cx="5557520" cy="25400"/>
              <wp:effectExtent l="0" t="0" r="0" b="0"/>
              <wp:wrapNone/>
              <wp:docPr id="516012632" name="Konektor Panah Lurus 516012632"/>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oel="http://schemas.microsoft.com/office/2019/extlst" xmlns:w16du="http://schemas.microsoft.com/office/word/2023/wordml/word16du" xmlns:w16sdtfl="http://schemas.microsoft.com/office/word/2024/wordml/sdtformatlo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25401</wp:posOffset>
              </wp:positionH>
              <wp:positionV relativeFrom="paragraph">
                <wp:posOffset>152400</wp:posOffset>
              </wp:positionV>
              <wp:extent cx="5557520" cy="25400"/>
              <wp:effectExtent b="0" l="0" r="0" t="0"/>
              <wp:wrapNone/>
              <wp:docPr id="51601263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557520" cy="254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8032F" w14:textId="548A1BAA" w:rsidR="004C0ACE" w:rsidRPr="007B19C9" w:rsidRDefault="003F6233">
    <w:pPr>
      <w:pBdr>
        <w:top w:val="nil"/>
        <w:left w:val="nil"/>
        <w:bottom w:val="nil"/>
        <w:right w:val="nil"/>
        <w:between w:val="nil"/>
      </w:pBdr>
      <w:tabs>
        <w:tab w:val="center" w:pos="4320"/>
        <w:tab w:val="right" w:pos="8640"/>
      </w:tabs>
      <w:rPr>
        <w:color w:val="000000"/>
        <w:lang w:val="it-IT"/>
      </w:rPr>
    </w:pPr>
    <w:r>
      <w:rPr>
        <w:color w:val="000000"/>
      </w:rPr>
      <w:fldChar w:fldCharType="begin"/>
    </w:r>
    <w:r w:rsidRPr="007B19C9">
      <w:rPr>
        <w:color w:val="000000"/>
        <w:lang w:val="it-IT"/>
      </w:rPr>
      <w:instrText>PAGE</w:instrText>
    </w:r>
    <w:r>
      <w:rPr>
        <w:color w:val="000000"/>
      </w:rPr>
      <w:fldChar w:fldCharType="separate"/>
    </w:r>
    <w:r w:rsidR="00FC21CA">
      <w:rPr>
        <w:noProof/>
        <w:color w:val="000000"/>
        <w:lang w:val="it-IT"/>
      </w:rPr>
      <w:t>7</w:t>
    </w:r>
    <w:r>
      <w:rPr>
        <w:color w:val="000000"/>
      </w:rPr>
      <w:fldChar w:fldCharType="end"/>
    </w:r>
  </w:p>
  <w:p w14:paraId="36AED840" w14:textId="77777777" w:rsidR="004C0ACE" w:rsidRPr="003567AA" w:rsidRDefault="003F6233">
    <w:pPr>
      <w:pBdr>
        <w:top w:val="nil"/>
        <w:left w:val="nil"/>
        <w:bottom w:val="single" w:sz="4" w:space="1" w:color="000000"/>
        <w:right w:val="nil"/>
        <w:between w:val="nil"/>
      </w:pBdr>
      <w:tabs>
        <w:tab w:val="left" w:pos="0"/>
        <w:tab w:val="center" w:pos="4301"/>
        <w:tab w:val="left" w:pos="7938"/>
      </w:tabs>
      <w:rPr>
        <w:color w:val="000000"/>
        <w:lang w:val="it-IT"/>
      </w:rPr>
    </w:pPr>
    <w:r w:rsidRPr="003567AA">
      <w:rPr>
        <w:i/>
        <w:color w:val="000000"/>
        <w:lang w:val="it-IT"/>
      </w:rPr>
      <w:t>LITERA: Jurnal Bahasa dan Sastra</w:t>
    </w:r>
    <w:r w:rsidRPr="003567AA">
      <w:rPr>
        <w:color w:val="000000"/>
        <w:lang w:val="it-IT"/>
      </w:rPr>
      <w:t xml:space="preserve"> </w:t>
    </w:r>
    <w:r w:rsidRPr="003567AA">
      <w:rPr>
        <w:color w:val="000000"/>
        <w:lang w:val="it-IT"/>
      </w:rPr>
      <w:tab/>
      <w:t>E-ISSN: 2548-7639</w:t>
    </w:r>
    <w:r w:rsidRPr="003567AA">
      <w:rPr>
        <w:color w:val="000000"/>
        <w:lang w:val="it-IT"/>
      </w:rPr>
      <w:tab/>
    </w:r>
    <w:r w:rsidRPr="003567AA">
      <w:rPr>
        <w:rFonts w:ascii="Noto Sans Symbols" w:eastAsia="Noto Sans Symbols" w:hAnsi="Noto Sans Symbols" w:cs="Noto Sans Symbols"/>
        <w:color w:val="000000"/>
        <w:lang w:val="it-IT"/>
      </w:rPr>
      <w:t>❒</w:t>
    </w:r>
    <w:r w:rsidRPr="003567AA">
      <w:rPr>
        <w:rFonts w:ascii="Noto Sans Symbols" w:eastAsia="Noto Sans Symbols" w:hAnsi="Noto Sans Symbols" w:cs="Noto Sans Symbols"/>
        <w:color w:val="000000"/>
        <w:lang w:val="it-IT"/>
      </w:rPr>
      <w:tab/>
    </w:r>
  </w:p>
  <w:p w14:paraId="6CAACF3D" w14:textId="77777777" w:rsidR="004C0ACE" w:rsidRPr="003567AA" w:rsidRDefault="004C0ACE">
    <w:pPr>
      <w:pBdr>
        <w:top w:val="nil"/>
        <w:left w:val="nil"/>
        <w:bottom w:val="nil"/>
        <w:right w:val="nil"/>
        <w:between w:val="nil"/>
      </w:pBdr>
      <w:tabs>
        <w:tab w:val="center" w:pos="4320"/>
        <w:tab w:val="right" w:pos="8640"/>
      </w:tabs>
      <w:ind w:right="360" w:firstLine="360"/>
      <w:rPr>
        <w:color w:val="000000"/>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FADDA" w14:textId="77777777" w:rsidR="004C0ACE" w:rsidRDefault="003F6233">
    <w:pPr>
      <w:pBdr>
        <w:top w:val="nil"/>
        <w:left w:val="nil"/>
        <w:bottom w:val="nil"/>
        <w:right w:val="nil"/>
        <w:between w:val="nil"/>
      </w:pBdr>
      <w:tabs>
        <w:tab w:val="center" w:pos="4320"/>
        <w:tab w:val="right" w:pos="8640"/>
      </w:tabs>
      <w:ind w:right="45"/>
      <w:rPr>
        <w:b/>
        <w:color w:val="000000"/>
      </w:rPr>
    </w:pPr>
    <w:r>
      <w:rPr>
        <w:b/>
        <w:color w:val="000000"/>
      </w:rPr>
      <w:t xml:space="preserve">LITERA: </w:t>
    </w:r>
    <w:proofErr w:type="spellStart"/>
    <w:r>
      <w:rPr>
        <w:b/>
        <w:color w:val="000000"/>
      </w:rPr>
      <w:t>Jurnal</w:t>
    </w:r>
    <w:proofErr w:type="spellEnd"/>
    <w:r>
      <w:rPr>
        <w:b/>
        <w:color w:val="000000"/>
      </w:rPr>
      <w:t xml:space="preserve"> Bahasa dan Sastra</w:t>
    </w:r>
  </w:p>
  <w:p w14:paraId="634D54F7" w14:textId="0217B11A" w:rsidR="004C0ACE" w:rsidRDefault="003F6233">
    <w:pPr>
      <w:pBdr>
        <w:top w:val="nil"/>
        <w:left w:val="nil"/>
        <w:bottom w:val="nil"/>
        <w:right w:val="nil"/>
        <w:between w:val="nil"/>
      </w:pBdr>
      <w:tabs>
        <w:tab w:val="center" w:pos="4320"/>
        <w:tab w:val="right" w:pos="8640"/>
      </w:tabs>
      <w:ind w:right="45"/>
      <w:rPr>
        <w:color w:val="000000"/>
      </w:rPr>
    </w:pPr>
    <w:r>
      <w:rPr>
        <w:color w:val="000000"/>
      </w:rPr>
      <w:t xml:space="preserve">Vol. </w:t>
    </w:r>
    <w:r w:rsidR="00B61E89">
      <w:rPr>
        <w:color w:val="000000"/>
      </w:rPr>
      <w:t>12</w:t>
    </w:r>
    <w:r>
      <w:rPr>
        <w:color w:val="000000"/>
      </w:rPr>
      <w:t xml:space="preserve">, No. 1, </w:t>
    </w:r>
    <w:r w:rsidR="00B61E89">
      <w:rPr>
        <w:color w:val="000000"/>
      </w:rPr>
      <w:t xml:space="preserve">Januari </w:t>
    </w:r>
    <w:r>
      <w:rPr>
        <w:color w:val="000000"/>
      </w:rPr>
      <w:t>202</w:t>
    </w:r>
    <w:r w:rsidR="00B61E89">
      <w:rPr>
        <w:color w:val="000000"/>
      </w:rPr>
      <w:t>6</w:t>
    </w:r>
    <w:r>
      <w:rPr>
        <w:color w:val="000000"/>
      </w:rPr>
      <w:t xml:space="preserve">, pp. </w:t>
    </w:r>
    <w:r w:rsidR="006D6C21">
      <w:rPr>
        <w:color w:val="000000"/>
      </w:rPr>
      <w:t>33</w:t>
    </w:r>
    <w:r>
      <w:rPr>
        <w:color w:val="000000"/>
      </w:rPr>
      <w:t>~</w:t>
    </w:r>
    <w:r w:rsidR="006D6C21">
      <w:rPr>
        <w:color w:val="000000"/>
      </w:rPr>
      <w:t>39</w:t>
    </w:r>
  </w:p>
  <w:p w14:paraId="28C18097" w14:textId="29261CD9" w:rsidR="004C0ACE" w:rsidRDefault="003F6233">
    <w:pPr>
      <w:pBdr>
        <w:top w:val="nil"/>
        <w:left w:val="nil"/>
        <w:bottom w:val="nil"/>
        <w:right w:val="nil"/>
        <w:between w:val="nil"/>
      </w:pBdr>
      <w:tabs>
        <w:tab w:val="left" w:pos="7938"/>
        <w:tab w:val="right" w:pos="8789"/>
      </w:tabs>
      <w:rPr>
        <w:color w:val="000000"/>
      </w:rPr>
    </w:pPr>
    <w:r>
      <w:rPr>
        <w:color w:val="000000"/>
      </w:rPr>
      <w:t>E-ISSN: 2548-7639</w:t>
    </w:r>
    <w:r>
      <w:rPr>
        <w:color w:val="000000"/>
      </w:rPr>
      <w:tab/>
    </w:r>
    <w:r>
      <w:rPr>
        <w:rFonts w:ascii="Noto Sans Symbols" w:eastAsia="Noto Sans Symbols" w:hAnsi="Noto Sans Symbols" w:cs="Noto Sans Symbols"/>
        <w:color w:val="000000"/>
      </w:rPr>
      <w:t>❒</w:t>
    </w:r>
    <w:r>
      <w:rPr>
        <w:color w:val="000000"/>
      </w:rPr>
      <w:t xml:space="preserve">    </w:t>
    </w:r>
    <w:r>
      <w:rPr>
        <w:color w:val="000000"/>
      </w:rPr>
      <w:tab/>
    </w:r>
    <w:r>
      <w:rPr>
        <w:color w:val="000000"/>
      </w:rPr>
      <w:fldChar w:fldCharType="begin"/>
    </w:r>
    <w:r>
      <w:rPr>
        <w:color w:val="000000"/>
      </w:rPr>
      <w:instrText>PAGE</w:instrText>
    </w:r>
    <w:r>
      <w:rPr>
        <w:color w:val="000000"/>
      </w:rPr>
      <w:fldChar w:fldCharType="separate"/>
    </w:r>
    <w:r w:rsidR="00FC21CA">
      <w:rPr>
        <w:noProof/>
        <w:color w:val="000000"/>
      </w:rPr>
      <w:t>1</w:t>
    </w:r>
    <w:r>
      <w:rPr>
        <w:color w:val="000000"/>
      </w:rPr>
      <w:fldChar w:fldCharType="end"/>
    </w:r>
  </w:p>
  <w:p w14:paraId="226EFA2C" w14:textId="77777777" w:rsidR="004C0ACE" w:rsidRDefault="003F6233">
    <w:pPr>
      <w:pBdr>
        <w:top w:val="nil"/>
        <w:left w:val="nil"/>
        <w:bottom w:val="nil"/>
        <w:right w:val="nil"/>
        <w:between w:val="nil"/>
      </w:pBdr>
      <w:tabs>
        <w:tab w:val="center" w:pos="4320"/>
        <w:tab w:val="right" w:pos="8640"/>
      </w:tabs>
      <w:ind w:right="45"/>
      <w:jc w:val="right"/>
      <w:rPr>
        <w:color w:val="000000"/>
      </w:rPr>
    </w:pPr>
    <w:r>
      <w:rPr>
        <w:color w:val="000000"/>
      </w:rPr>
      <w:tab/>
    </w:r>
    <w:r>
      <w:rPr>
        <w:noProof/>
        <w:lang w:eastAsia="en-US"/>
      </w:rPr>
      <mc:AlternateContent>
        <mc:Choice Requires="wpg">
          <w:drawing>
            <wp:anchor distT="0" distB="0" distL="114300" distR="114300" simplePos="0" relativeHeight="251658240" behindDoc="0" locked="0" layoutInCell="1" hidden="0" allowOverlap="1" wp14:anchorId="554EB622" wp14:editId="47AE0EB1">
              <wp:simplePos x="0" y="0"/>
              <wp:positionH relativeFrom="column">
                <wp:posOffset>12701</wp:posOffset>
              </wp:positionH>
              <wp:positionV relativeFrom="paragraph">
                <wp:posOffset>12700</wp:posOffset>
              </wp:positionV>
              <wp:extent cx="5614670" cy="25400"/>
              <wp:effectExtent l="0" t="0" r="0" b="0"/>
              <wp:wrapNone/>
              <wp:docPr id="516012633" name="Konektor Panah Lurus 516012633"/>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oel="http://schemas.microsoft.com/office/2019/extlst" xmlns:w16du="http://schemas.microsoft.com/office/word/2023/wordml/word16du" xmlns:w16sdtfl="http://schemas.microsoft.com/office/word/2024/wordml/sdtformatlo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5614670" cy="25400"/>
              <wp:effectExtent b="0" l="0" r="0" t="0"/>
              <wp:wrapNone/>
              <wp:docPr id="51601263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614670" cy="254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E0EDC"/>
    <w:multiLevelType w:val="multilevel"/>
    <w:tmpl w:val="CDA4BE24"/>
    <w:lvl w:ilvl="0">
      <w:start w:val="1"/>
      <w:numFmt w:val="decimal"/>
      <w:pStyle w:val="yange2"/>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53200B"/>
    <w:multiLevelType w:val="multilevel"/>
    <w:tmpl w:val="0A84BD2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D774E42"/>
    <w:multiLevelType w:val="multilevel"/>
    <w:tmpl w:val="05BC74C2"/>
    <w:lvl w:ilvl="0">
      <w:start w:val="3"/>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4F7C14EB"/>
    <w:multiLevelType w:val="multilevel"/>
    <w:tmpl w:val="7040B70E"/>
    <w:lvl w:ilvl="0">
      <w:start w:val="1"/>
      <w:numFmt w:val="bullet"/>
      <w:pStyle w:val="references"/>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ACE"/>
    <w:rsid w:val="00026602"/>
    <w:rsid w:val="00073B50"/>
    <w:rsid w:val="000F5EF6"/>
    <w:rsid w:val="00102718"/>
    <w:rsid w:val="001510E3"/>
    <w:rsid w:val="001B1AC3"/>
    <w:rsid w:val="001C1EB2"/>
    <w:rsid w:val="001E0C0A"/>
    <w:rsid w:val="001F4D2B"/>
    <w:rsid w:val="0025073F"/>
    <w:rsid w:val="00256C75"/>
    <w:rsid w:val="002750EA"/>
    <w:rsid w:val="002A0BCF"/>
    <w:rsid w:val="002B465A"/>
    <w:rsid w:val="002C7FF4"/>
    <w:rsid w:val="002D3C8A"/>
    <w:rsid w:val="003177E5"/>
    <w:rsid w:val="003567AA"/>
    <w:rsid w:val="00372F2C"/>
    <w:rsid w:val="003969E6"/>
    <w:rsid w:val="003A7A80"/>
    <w:rsid w:val="003F6233"/>
    <w:rsid w:val="004258DC"/>
    <w:rsid w:val="004426E2"/>
    <w:rsid w:val="004500E7"/>
    <w:rsid w:val="00466DEF"/>
    <w:rsid w:val="004674BA"/>
    <w:rsid w:val="004C0ACE"/>
    <w:rsid w:val="004D32D5"/>
    <w:rsid w:val="004D3ADC"/>
    <w:rsid w:val="00514A81"/>
    <w:rsid w:val="005330CB"/>
    <w:rsid w:val="00564B45"/>
    <w:rsid w:val="005651F2"/>
    <w:rsid w:val="005A4F72"/>
    <w:rsid w:val="005A5256"/>
    <w:rsid w:val="005B3576"/>
    <w:rsid w:val="005D5365"/>
    <w:rsid w:val="00602C87"/>
    <w:rsid w:val="00623479"/>
    <w:rsid w:val="006445CD"/>
    <w:rsid w:val="006A533A"/>
    <w:rsid w:val="006B59DE"/>
    <w:rsid w:val="006D6C21"/>
    <w:rsid w:val="006E79E3"/>
    <w:rsid w:val="00744C6D"/>
    <w:rsid w:val="007721C4"/>
    <w:rsid w:val="0079752A"/>
    <w:rsid w:val="007B19C9"/>
    <w:rsid w:val="0082426A"/>
    <w:rsid w:val="00862A3D"/>
    <w:rsid w:val="008672EB"/>
    <w:rsid w:val="008706B2"/>
    <w:rsid w:val="0089050D"/>
    <w:rsid w:val="008B33DF"/>
    <w:rsid w:val="008F40FC"/>
    <w:rsid w:val="008F4764"/>
    <w:rsid w:val="008F7266"/>
    <w:rsid w:val="00963582"/>
    <w:rsid w:val="009A6127"/>
    <w:rsid w:val="009A75C2"/>
    <w:rsid w:val="009B40B5"/>
    <w:rsid w:val="009D7884"/>
    <w:rsid w:val="00A14F78"/>
    <w:rsid w:val="00A20051"/>
    <w:rsid w:val="00A359C5"/>
    <w:rsid w:val="00A52090"/>
    <w:rsid w:val="00A536FE"/>
    <w:rsid w:val="00A53A62"/>
    <w:rsid w:val="00A66DB8"/>
    <w:rsid w:val="00A73E55"/>
    <w:rsid w:val="00A863C8"/>
    <w:rsid w:val="00AF644E"/>
    <w:rsid w:val="00B13D54"/>
    <w:rsid w:val="00B3170A"/>
    <w:rsid w:val="00B61E89"/>
    <w:rsid w:val="00B950CC"/>
    <w:rsid w:val="00BF7217"/>
    <w:rsid w:val="00C00C3F"/>
    <w:rsid w:val="00C201C0"/>
    <w:rsid w:val="00C34CB8"/>
    <w:rsid w:val="00C524EF"/>
    <w:rsid w:val="00C552E8"/>
    <w:rsid w:val="00C76166"/>
    <w:rsid w:val="00CC728D"/>
    <w:rsid w:val="00CD698F"/>
    <w:rsid w:val="00CE4BE6"/>
    <w:rsid w:val="00CF4FFE"/>
    <w:rsid w:val="00D10E80"/>
    <w:rsid w:val="00D35AD4"/>
    <w:rsid w:val="00D56EF1"/>
    <w:rsid w:val="00DA10ED"/>
    <w:rsid w:val="00DA25F5"/>
    <w:rsid w:val="00DD3A79"/>
    <w:rsid w:val="00DD5FFF"/>
    <w:rsid w:val="00E07819"/>
    <w:rsid w:val="00E21A27"/>
    <w:rsid w:val="00E22360"/>
    <w:rsid w:val="00E46DBF"/>
    <w:rsid w:val="00E633BB"/>
    <w:rsid w:val="00E71F5E"/>
    <w:rsid w:val="00EB21BD"/>
    <w:rsid w:val="00EC240B"/>
    <w:rsid w:val="00ED1C14"/>
    <w:rsid w:val="00F27BCD"/>
    <w:rsid w:val="00F34726"/>
    <w:rsid w:val="00F41CF7"/>
    <w:rsid w:val="00F730A5"/>
    <w:rsid w:val="00F760AB"/>
    <w:rsid w:val="00F97B6A"/>
    <w:rsid w:val="00FA06D0"/>
    <w:rsid w:val="00FA7003"/>
    <w:rsid w:val="00FB6591"/>
    <w:rsid w:val="00FC21CA"/>
    <w:rsid w:val="00FC39DE"/>
    <w:rsid w:val="00FD5E8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2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uiPriority w:val="10"/>
    <w:qFormat/>
    <w:rsid w:val="00F866B0"/>
    <w:pPr>
      <w:jc w:val="center"/>
    </w:pPr>
    <w:rPr>
      <w:b/>
      <w:bCs/>
      <w:sz w:val="28"/>
      <w:szCs w:val="24"/>
      <w:lang w:val="id-ID"/>
    </w:rPr>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Bibliography">
    <w:name w:val="Bibliography"/>
    <w:basedOn w:val="Normal"/>
    <w:next w:val="Normal"/>
    <w:uiPriority w:val="37"/>
    <w:semiHidden/>
    <w:unhideWhenUsed/>
    <w:rsid w:val="00720C29"/>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F31FA4"/>
    <w:rPr>
      <w:color w:val="605E5C"/>
      <w:shd w:val="clear" w:color="auto" w:fill="E1DFDD"/>
    </w:rPr>
  </w:style>
  <w:style w:type="paragraph" w:customStyle="1" w:styleId="Alishlah22heading2">
    <w:name w:val="Alishlah_2.2_heading2"/>
    <w:basedOn w:val="Normal"/>
    <w:qFormat/>
    <w:rsid w:val="00CB7154"/>
    <w:pPr>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Cs w:val="22"/>
      <w:lang w:eastAsia="de-DE" w:bidi="en-US"/>
    </w:rPr>
  </w:style>
  <w:style w:type="paragraph" w:customStyle="1" w:styleId="Alishlah71References">
    <w:name w:val="Alishlah_7.1_References"/>
    <w:basedOn w:val="Normal"/>
    <w:qFormat/>
    <w:rsid w:val="00CB7154"/>
    <w:pPr>
      <w:widowControl w:val="0"/>
      <w:autoSpaceDE w:val="0"/>
      <w:autoSpaceDN w:val="0"/>
      <w:adjustRightInd w:val="0"/>
      <w:spacing w:line="240" w:lineRule="atLeast"/>
      <w:ind w:left="480" w:hanging="480"/>
      <w:jc w:val="both"/>
    </w:pPr>
    <w:rPr>
      <w:rFonts w:ascii="Palatino Linotype" w:eastAsia="SimSun" w:hAnsi="Palatino Linotype"/>
      <w:noProof/>
      <w:lang w:val="en-ID"/>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CommentReference">
    <w:name w:val="annotation reference"/>
    <w:basedOn w:val="DefaultParagraphFont"/>
    <w:uiPriority w:val="99"/>
    <w:semiHidden/>
    <w:unhideWhenUsed/>
    <w:rsid w:val="00CF4FFE"/>
    <w:rPr>
      <w:sz w:val="16"/>
      <w:szCs w:val="16"/>
    </w:rPr>
  </w:style>
  <w:style w:type="paragraph" w:styleId="CommentText">
    <w:name w:val="annotation text"/>
    <w:basedOn w:val="Normal"/>
    <w:link w:val="CommentTextChar"/>
    <w:uiPriority w:val="99"/>
    <w:unhideWhenUsed/>
    <w:rsid w:val="00CF4FFE"/>
  </w:style>
  <w:style w:type="character" w:customStyle="1" w:styleId="CommentTextChar">
    <w:name w:val="Comment Text Char"/>
    <w:basedOn w:val="DefaultParagraphFont"/>
    <w:link w:val="CommentText"/>
    <w:uiPriority w:val="99"/>
    <w:rsid w:val="00CF4FFE"/>
  </w:style>
  <w:style w:type="paragraph" w:styleId="CommentSubject">
    <w:name w:val="annotation subject"/>
    <w:basedOn w:val="CommentText"/>
    <w:next w:val="CommentText"/>
    <w:link w:val="CommentSubjectChar"/>
    <w:uiPriority w:val="99"/>
    <w:semiHidden/>
    <w:unhideWhenUsed/>
    <w:rsid w:val="00CF4FFE"/>
    <w:rPr>
      <w:b/>
      <w:bCs/>
    </w:rPr>
  </w:style>
  <w:style w:type="character" w:customStyle="1" w:styleId="CommentSubjectChar">
    <w:name w:val="Comment Subject Char"/>
    <w:basedOn w:val="CommentTextChar"/>
    <w:link w:val="CommentSubject"/>
    <w:uiPriority w:val="99"/>
    <w:semiHidden/>
    <w:rsid w:val="00CF4FFE"/>
    <w:rPr>
      <w:b/>
      <w:bCs/>
    </w:rPr>
  </w:style>
  <w:style w:type="character" w:styleId="UnresolvedMention">
    <w:name w:val="Unresolved Mention"/>
    <w:basedOn w:val="DefaultParagraphFont"/>
    <w:uiPriority w:val="99"/>
    <w:semiHidden/>
    <w:unhideWhenUsed/>
    <w:rsid w:val="00B61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733917">
      <w:bodyDiv w:val="1"/>
      <w:marLeft w:val="0"/>
      <w:marRight w:val="0"/>
      <w:marTop w:val="0"/>
      <w:marBottom w:val="0"/>
      <w:divBdr>
        <w:top w:val="none" w:sz="0" w:space="0" w:color="auto"/>
        <w:left w:val="none" w:sz="0" w:space="0" w:color="auto"/>
        <w:bottom w:val="none" w:sz="0" w:space="0" w:color="auto"/>
        <w:right w:val="none" w:sz="0" w:space="0" w:color="auto"/>
      </w:divBdr>
    </w:div>
    <w:div w:id="547495025">
      <w:bodyDiv w:val="1"/>
      <w:marLeft w:val="0"/>
      <w:marRight w:val="0"/>
      <w:marTop w:val="0"/>
      <w:marBottom w:val="0"/>
      <w:divBdr>
        <w:top w:val="none" w:sz="0" w:space="0" w:color="auto"/>
        <w:left w:val="none" w:sz="0" w:space="0" w:color="auto"/>
        <w:bottom w:val="none" w:sz="0" w:space="0" w:color="auto"/>
        <w:right w:val="none" w:sz="0" w:space="0" w:color="auto"/>
      </w:divBdr>
    </w:div>
    <w:div w:id="1070494258">
      <w:bodyDiv w:val="1"/>
      <w:marLeft w:val="0"/>
      <w:marRight w:val="0"/>
      <w:marTop w:val="0"/>
      <w:marBottom w:val="0"/>
      <w:divBdr>
        <w:top w:val="none" w:sz="0" w:space="0" w:color="auto"/>
        <w:left w:val="none" w:sz="0" w:space="0" w:color="auto"/>
        <w:bottom w:val="none" w:sz="0" w:space="0" w:color="auto"/>
        <w:right w:val="none" w:sz="0" w:space="0" w:color="auto"/>
      </w:divBdr>
    </w:div>
    <w:div w:id="1107388952">
      <w:bodyDiv w:val="1"/>
      <w:marLeft w:val="0"/>
      <w:marRight w:val="0"/>
      <w:marTop w:val="0"/>
      <w:marBottom w:val="0"/>
      <w:divBdr>
        <w:top w:val="none" w:sz="0" w:space="0" w:color="auto"/>
        <w:left w:val="none" w:sz="0" w:space="0" w:color="auto"/>
        <w:bottom w:val="none" w:sz="0" w:space="0" w:color="auto"/>
        <w:right w:val="none" w:sz="0" w:space="0" w:color="auto"/>
      </w:divBdr>
    </w:div>
    <w:div w:id="1770540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sa/4.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hyperlink" Target="mailto:deby.christi@gmail.com"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deby.christi@gmail.com" TargetMode="External"/><Relationship Id="rId14" Type="http://schemas.openxmlformats.org/officeDocument/2006/relationships/image" Target="media/image3.png"/><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b4UohQJPoULrLD/175O1MbgqLg==">CgMxLjAyCGguZ2pkZ3hzOAByITFYUXlOeW9rRUpIRDF5dEVJeTlDaTZnQ0txVEJjMk8zcg==</go:docsCustomData>
</go:gDocsCustomXmlDataStorage>
</file>

<file path=customXml/item2.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0953754-73EA-4016-9FA9-DD59FE646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6228</Words>
  <Characters>35505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2025-12-10T04:19:00Z</dcterms:created>
  <dcterms:modified xsi:type="dcterms:W3CDTF">2026-01-15T04:36:00Z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https://csl.mendeley.com/styles/475823531/apa</vt:lpwstr>
  </property>
  <property fmtid="{D5CDD505-2E9C-101B-9397-08002B2CF9AE}" pid="3" name="Mendeley Recent Style Name 0_1">
    <vt:lpwstr>American Psychological Association 6th edition - Mincho Slavov</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http://www.zotero.org/styles/springer-vancouver-brackets</vt:lpwstr>
  </property>
  <property fmtid="{D5CDD505-2E9C-101B-9397-08002B2CF9AE}" pid="19" name="Mendeley Recent Style Name 8_1">
    <vt:lpwstr>Springer - Vancouver (brackets)</vt:lpwstr>
  </property>
  <property fmtid="{D5CDD505-2E9C-101B-9397-08002B2CF9AE}" pid="20" name="Mendeley Recent Style Id 9_1">
    <vt:lpwstr>http://www.zotero.org/styles/vancouver-superscript-brackets-only-year</vt:lpwstr>
  </property>
  <property fmtid="{D5CDD505-2E9C-101B-9397-08002B2CF9AE}" pid="21" name="Mendeley Recent Style Name 9_1">
    <vt:lpwstr>Vancouver (superscript, brackets, only year in date)</vt:lpwstr>
  </property>
  <property fmtid="{D5CDD505-2E9C-101B-9397-08002B2CF9AE}" pid="22" name="Mendeley Document_1">
    <vt:lpwstr>True</vt:lpwstr>
  </property>
  <property fmtid="{D5CDD505-2E9C-101B-9397-08002B2CF9AE}" pid="23" name="Mendeley Unique User Id_1">
    <vt:lpwstr>78598abd-dfc6-34fc-bd5c-9aefc92ac9f9</vt:lpwstr>
  </property>
  <property fmtid="{D5CDD505-2E9C-101B-9397-08002B2CF9AE}" pid="24" name="Mendeley Citation Style_1">
    <vt:lpwstr>http://www.zotero.org/styles/apa</vt:lpwstr>
  </property>
  <property fmtid="{D5CDD505-2E9C-101B-9397-08002B2CF9AE}" pid="25" name="GrammarlyDocumentId">
    <vt:lpwstr>5711f3d1-4e10-4a72-9fc9-d3637ef06d43</vt:lpwstr>
  </property>
</Properties>
</file>