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89D76" w14:textId="2FDFC43D" w:rsidR="00AA3EC0" w:rsidRDefault="00DB0F11">
      <w:pPr>
        <w:pStyle w:val="Title"/>
        <w:jc w:val="left"/>
      </w:pPr>
      <w:r w:rsidRPr="00DB0F11">
        <w:t xml:space="preserve">The </w:t>
      </w:r>
      <w:proofErr w:type="spellStart"/>
      <w:r w:rsidRPr="00DB0F11">
        <w:t>Implementation</w:t>
      </w:r>
      <w:proofErr w:type="spellEnd"/>
      <w:r w:rsidRPr="00DB0F11">
        <w:t xml:space="preserve"> </w:t>
      </w:r>
      <w:proofErr w:type="spellStart"/>
      <w:r w:rsidRPr="00DB0F11">
        <w:t>of</w:t>
      </w:r>
      <w:proofErr w:type="spellEnd"/>
      <w:r w:rsidRPr="00DB0F11">
        <w:t xml:space="preserve"> Mobile </w:t>
      </w:r>
      <w:proofErr w:type="spellStart"/>
      <w:r w:rsidRPr="00DB0F11">
        <w:t>Learning</w:t>
      </w:r>
      <w:proofErr w:type="spellEnd"/>
      <w:r w:rsidRPr="00DB0F11">
        <w:t xml:space="preserve"> </w:t>
      </w:r>
      <w:proofErr w:type="spellStart"/>
      <w:r w:rsidRPr="00DB0F11">
        <w:t>Marketing</w:t>
      </w:r>
      <w:proofErr w:type="spellEnd"/>
      <w:r w:rsidRPr="00DB0F11">
        <w:t xml:space="preserve"> in </w:t>
      </w:r>
      <w:proofErr w:type="spellStart"/>
      <w:r w:rsidRPr="00DB0F11">
        <w:t>the</w:t>
      </w:r>
      <w:proofErr w:type="spellEnd"/>
      <w:r w:rsidRPr="00DB0F11">
        <w:t xml:space="preserve"> </w:t>
      </w:r>
      <w:proofErr w:type="spellStart"/>
      <w:r w:rsidRPr="00DB0F11">
        <w:t>Teaching</w:t>
      </w:r>
      <w:proofErr w:type="spellEnd"/>
      <w:r w:rsidRPr="00DB0F11">
        <w:t xml:space="preserve"> </w:t>
      </w:r>
      <w:proofErr w:type="spellStart"/>
      <w:r w:rsidRPr="00DB0F11">
        <w:t>of</w:t>
      </w:r>
      <w:proofErr w:type="spellEnd"/>
      <w:r w:rsidRPr="00DB0F11">
        <w:t xml:space="preserve"> </w:t>
      </w:r>
      <w:proofErr w:type="spellStart"/>
      <w:r w:rsidRPr="00DB0F11">
        <w:t>Introduction</w:t>
      </w:r>
      <w:proofErr w:type="spellEnd"/>
      <w:r w:rsidRPr="00DB0F11">
        <w:t xml:space="preserve"> </w:t>
      </w:r>
      <w:proofErr w:type="spellStart"/>
      <w:r w:rsidRPr="00DB0F11">
        <w:t>to</w:t>
      </w:r>
      <w:proofErr w:type="spellEnd"/>
      <w:r w:rsidRPr="00DB0F11">
        <w:t xml:space="preserve"> Business in </w:t>
      </w:r>
      <w:proofErr w:type="spellStart"/>
      <w:r w:rsidRPr="00DB0F11">
        <w:t>Higher</w:t>
      </w:r>
      <w:proofErr w:type="spellEnd"/>
      <w:r w:rsidRPr="00DB0F11">
        <w:t xml:space="preserve"> </w:t>
      </w:r>
      <w:proofErr w:type="spellStart"/>
      <w:r w:rsidRPr="00DB0F11">
        <w:t>Education</w:t>
      </w:r>
      <w:proofErr w:type="spellEnd"/>
    </w:p>
    <w:p w14:paraId="5C5D9A8C" w14:textId="77777777" w:rsidR="00AA3EC0" w:rsidRDefault="00AA3EC0">
      <w:pPr>
        <w:jc w:val="center"/>
        <w:rPr>
          <w:b/>
        </w:rPr>
      </w:pPr>
    </w:p>
    <w:p w14:paraId="0DFECF2B" w14:textId="12619CFE" w:rsidR="00AA3EC0" w:rsidRDefault="00427E6E">
      <w:pPr>
        <w:rPr>
          <w:b/>
          <w:vertAlign w:val="superscript"/>
        </w:rPr>
      </w:pPr>
      <w:proofErr w:type="spellStart"/>
      <w:r w:rsidRPr="00ED6FF6">
        <w:rPr>
          <w:lang w:val="en-ID"/>
        </w:rPr>
        <w:t>Ninik</w:t>
      </w:r>
      <w:proofErr w:type="spellEnd"/>
      <w:r w:rsidRPr="00ED6FF6">
        <w:rPr>
          <w:lang w:val="en-ID"/>
        </w:rPr>
        <w:t xml:space="preserve"> </w:t>
      </w:r>
      <w:proofErr w:type="spellStart"/>
      <w:r w:rsidRPr="00ED6FF6">
        <w:rPr>
          <w:lang w:val="en-ID"/>
        </w:rPr>
        <w:t>Sudarwati</w:t>
      </w:r>
      <w:proofErr w:type="spellEnd"/>
      <w:r>
        <w:rPr>
          <w:b/>
          <w:vertAlign w:val="superscript"/>
        </w:rPr>
        <w:t>1</w:t>
      </w:r>
      <w:r>
        <w:rPr>
          <w:b/>
        </w:rPr>
        <w:t xml:space="preserve">, </w:t>
      </w:r>
      <w:r>
        <w:rPr>
          <w:lang w:val="en-ID"/>
        </w:rPr>
        <w:t>Dies Nurhayati</w:t>
      </w:r>
      <w:r>
        <w:rPr>
          <w:b/>
          <w:vertAlign w:val="superscript"/>
        </w:rPr>
        <w:t>2</w:t>
      </w:r>
      <w:r>
        <w:rPr>
          <w:b/>
        </w:rPr>
        <w:t xml:space="preserve">, </w:t>
      </w:r>
      <w:r>
        <w:rPr>
          <w:lang w:val="en-ID"/>
        </w:rPr>
        <w:t xml:space="preserve">Endah </w:t>
      </w:r>
      <w:proofErr w:type="spellStart"/>
      <w:r>
        <w:rPr>
          <w:lang w:val="en-ID"/>
        </w:rPr>
        <w:t>Andayani</w:t>
      </w:r>
      <w:proofErr w:type="spellEnd"/>
      <w:r>
        <w:rPr>
          <w:b/>
          <w:vertAlign w:val="superscript"/>
        </w:rPr>
        <w:t>3</w:t>
      </w:r>
    </w:p>
    <w:p w14:paraId="035E6417" w14:textId="77777777" w:rsidR="00AA3EC0" w:rsidRDefault="00000000">
      <w:pPr>
        <w:rPr>
          <w:b/>
        </w:rPr>
      </w:pPr>
      <w:r>
        <w:rPr>
          <w:b/>
        </w:rPr>
        <w:t xml:space="preserve"> </w:t>
      </w:r>
    </w:p>
    <w:p w14:paraId="57327410" w14:textId="5B79FD08" w:rsidR="00AA3EC0" w:rsidRDefault="00427E6E">
      <w:pPr>
        <w:rPr>
          <w:sz w:val="18"/>
          <w:szCs w:val="18"/>
        </w:rPr>
      </w:pPr>
      <w:r w:rsidRPr="00ED6FF6">
        <w:rPr>
          <w:vertAlign w:val="superscript"/>
          <w:lang w:val="sv-SE"/>
        </w:rPr>
        <w:t>1</w:t>
      </w:r>
      <w:r w:rsidRPr="00BC59A1">
        <w:rPr>
          <w:lang w:val="sv-SE"/>
        </w:rPr>
        <w:t xml:space="preserve">Universitas PGRI </w:t>
      </w:r>
      <w:proofErr w:type="spellStart"/>
      <w:r w:rsidRPr="00BC59A1">
        <w:rPr>
          <w:lang w:val="sv-SE"/>
        </w:rPr>
        <w:t>Jombang</w:t>
      </w:r>
      <w:proofErr w:type="spellEnd"/>
      <w:r w:rsidRPr="00BC59A1">
        <w:rPr>
          <w:lang w:val="sv-SE"/>
        </w:rPr>
        <w:t xml:space="preserve">, </w:t>
      </w:r>
      <w:proofErr w:type="spellStart"/>
      <w:r w:rsidRPr="00BC59A1">
        <w:rPr>
          <w:lang w:val="sv-SE"/>
        </w:rPr>
        <w:t>Jombang</w:t>
      </w:r>
      <w:proofErr w:type="spellEnd"/>
      <w:r w:rsidRPr="00BC59A1">
        <w:rPr>
          <w:lang w:val="sv-SE"/>
        </w:rPr>
        <w:t>, Indonesia</w:t>
      </w:r>
      <w:r>
        <w:rPr>
          <w:sz w:val="18"/>
          <w:szCs w:val="18"/>
        </w:rPr>
        <w:t xml:space="preserve">; </w:t>
      </w:r>
      <w:hyperlink r:id="rId8" w:history="1">
        <w:r w:rsidRPr="00B31621">
          <w:rPr>
            <w:rStyle w:val="Hyperlink"/>
            <w:i/>
            <w:lang w:val="sv-SE"/>
          </w:rPr>
          <w:t>ninik.stkipjb@gmail.com</w:t>
        </w:r>
      </w:hyperlink>
      <w:r>
        <w:rPr>
          <w:i/>
          <w:lang w:val="sv-SE"/>
        </w:rPr>
        <w:t xml:space="preserve"> </w:t>
      </w:r>
    </w:p>
    <w:p w14:paraId="459B5C02" w14:textId="2E9B5AB3" w:rsidR="00AA3EC0" w:rsidRDefault="00427E6E">
      <w:pPr>
        <w:rPr>
          <w:sz w:val="18"/>
          <w:szCs w:val="18"/>
        </w:rPr>
      </w:pPr>
      <w:r w:rsidRPr="006E305E">
        <w:rPr>
          <w:vertAlign w:val="superscript"/>
          <w:lang w:val="sv-SE"/>
        </w:rPr>
        <w:t>2</w:t>
      </w:r>
      <w:r>
        <w:rPr>
          <w:lang w:val="sv-SE"/>
        </w:rPr>
        <w:t xml:space="preserve">Universitas PGRI </w:t>
      </w:r>
      <w:proofErr w:type="spellStart"/>
      <w:r>
        <w:rPr>
          <w:lang w:val="sv-SE"/>
        </w:rPr>
        <w:t>Wiranegara</w:t>
      </w:r>
      <w:proofErr w:type="spellEnd"/>
      <w:r>
        <w:rPr>
          <w:lang w:val="sv-SE"/>
        </w:rPr>
        <w:t xml:space="preserve">, </w:t>
      </w:r>
      <w:proofErr w:type="spellStart"/>
      <w:r>
        <w:rPr>
          <w:lang w:val="sv-SE"/>
        </w:rPr>
        <w:t>Pasuruan</w:t>
      </w:r>
      <w:proofErr w:type="spellEnd"/>
      <w:r>
        <w:rPr>
          <w:lang w:val="sv-SE"/>
        </w:rPr>
        <w:t>, Indonesia</w:t>
      </w:r>
    </w:p>
    <w:p w14:paraId="74259C87" w14:textId="64F3D326" w:rsidR="00AA3EC0" w:rsidRDefault="00427E6E">
      <w:pPr>
        <w:rPr>
          <w:sz w:val="18"/>
          <w:szCs w:val="18"/>
        </w:rPr>
      </w:pPr>
      <w:r w:rsidRPr="006E305E">
        <w:rPr>
          <w:vertAlign w:val="superscript"/>
          <w:lang w:val="sv-SE"/>
        </w:rPr>
        <w:t>3</w:t>
      </w:r>
      <w:r>
        <w:rPr>
          <w:lang w:val="sv-SE"/>
        </w:rPr>
        <w:t xml:space="preserve">Universitas </w:t>
      </w:r>
      <w:proofErr w:type="spellStart"/>
      <w:r>
        <w:rPr>
          <w:lang w:val="sv-SE"/>
        </w:rPr>
        <w:t>Kanjuruan</w:t>
      </w:r>
      <w:proofErr w:type="spellEnd"/>
      <w:r>
        <w:rPr>
          <w:lang w:val="sv-SE"/>
        </w:rPr>
        <w:t>, Malang, Indonesia</w:t>
      </w:r>
    </w:p>
    <w:p w14:paraId="4595EB45" w14:textId="77777777" w:rsidR="00AA3EC0" w:rsidRDefault="00AA3EC0" w:rsidP="00DB0F11"/>
    <w:tbl>
      <w:tblPr>
        <w:tblStyle w:val="a1"/>
        <w:tblW w:w="8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283"/>
        <w:gridCol w:w="5353"/>
      </w:tblGrid>
      <w:tr w:rsidR="00AA3EC0" w14:paraId="424B0BFB" w14:textId="77777777" w:rsidTr="005B1500">
        <w:tc>
          <w:tcPr>
            <w:tcW w:w="2552" w:type="dxa"/>
            <w:tcBorders>
              <w:top w:val="single" w:sz="4" w:space="0" w:color="000000"/>
              <w:left w:val="nil"/>
              <w:right w:val="nil"/>
            </w:tcBorders>
          </w:tcPr>
          <w:p w14:paraId="236F9C0C" w14:textId="77777777" w:rsidR="00AA3EC0" w:rsidRDefault="00000000">
            <w:pPr>
              <w:spacing w:before="120"/>
              <w:jc w:val="both"/>
              <w:rPr>
                <w:b/>
              </w:rPr>
            </w:pPr>
            <w:r>
              <w:rPr>
                <w:b/>
              </w:rPr>
              <w:t>Article Info</w:t>
            </w:r>
          </w:p>
        </w:tc>
        <w:tc>
          <w:tcPr>
            <w:tcW w:w="283" w:type="dxa"/>
            <w:tcBorders>
              <w:top w:val="single" w:sz="4" w:space="0" w:color="000000"/>
              <w:left w:val="nil"/>
              <w:bottom w:val="nil"/>
              <w:right w:val="nil"/>
            </w:tcBorders>
          </w:tcPr>
          <w:p w14:paraId="0BC23401" w14:textId="77777777" w:rsidR="00AA3EC0" w:rsidRDefault="00AA3EC0">
            <w:pPr>
              <w:spacing w:before="120"/>
              <w:jc w:val="center"/>
            </w:pPr>
          </w:p>
        </w:tc>
        <w:tc>
          <w:tcPr>
            <w:tcW w:w="5353" w:type="dxa"/>
            <w:tcBorders>
              <w:top w:val="single" w:sz="4" w:space="0" w:color="000000"/>
              <w:left w:val="nil"/>
              <w:right w:val="nil"/>
            </w:tcBorders>
          </w:tcPr>
          <w:p w14:paraId="3451D452" w14:textId="6FE1D660" w:rsidR="00AA3EC0" w:rsidRDefault="00000000">
            <w:pPr>
              <w:spacing w:before="120"/>
              <w:rPr>
                <w:color w:val="000000"/>
                <w:sz w:val="24"/>
                <w:szCs w:val="24"/>
              </w:rPr>
            </w:pPr>
            <w:r>
              <w:rPr>
                <w:b/>
                <w:color w:val="000000"/>
              </w:rPr>
              <w:t>ABSTRACT</w:t>
            </w:r>
          </w:p>
        </w:tc>
      </w:tr>
      <w:tr w:rsidR="00AA3EC0" w14:paraId="42318ADD" w14:textId="77777777" w:rsidTr="005B1500">
        <w:trPr>
          <w:trHeight w:val="2787"/>
        </w:trPr>
        <w:tc>
          <w:tcPr>
            <w:tcW w:w="2552" w:type="dxa"/>
            <w:tcBorders>
              <w:left w:val="nil"/>
              <w:right w:val="nil"/>
            </w:tcBorders>
          </w:tcPr>
          <w:p w14:paraId="63117094" w14:textId="41861C75" w:rsidR="00AA3EC0" w:rsidRPr="00DB0F11" w:rsidRDefault="00000000" w:rsidP="00DB0F11">
            <w:pPr>
              <w:spacing w:before="120" w:after="120"/>
              <w:jc w:val="both"/>
              <w:rPr>
                <w:b/>
                <w:i/>
              </w:rPr>
            </w:pPr>
            <w:r>
              <w:rPr>
                <w:b/>
                <w:i/>
              </w:rPr>
              <w:t>Keywords:</w:t>
            </w:r>
          </w:p>
          <w:p w14:paraId="2F18BDFA" w14:textId="351353E4" w:rsidR="00AA3EC0" w:rsidRDefault="00DB0F11">
            <w:pPr>
              <w:jc w:val="both"/>
            </w:pPr>
            <w:r w:rsidRPr="00DB0F11">
              <w:t>Digital pedagogy, Higher education, Introduction to business Mobile learning, Marketing in education</w:t>
            </w:r>
          </w:p>
        </w:tc>
        <w:tc>
          <w:tcPr>
            <w:tcW w:w="283" w:type="dxa"/>
            <w:tcBorders>
              <w:top w:val="nil"/>
              <w:left w:val="nil"/>
              <w:bottom w:val="nil"/>
              <w:right w:val="nil"/>
            </w:tcBorders>
          </w:tcPr>
          <w:p w14:paraId="633CDBFC" w14:textId="77777777" w:rsidR="00AA3EC0" w:rsidRDefault="00AA3EC0">
            <w:pPr>
              <w:spacing w:before="120"/>
              <w:jc w:val="both"/>
            </w:pPr>
          </w:p>
        </w:tc>
        <w:tc>
          <w:tcPr>
            <w:tcW w:w="5353" w:type="dxa"/>
            <w:tcBorders>
              <w:left w:val="nil"/>
              <w:right w:val="nil"/>
            </w:tcBorders>
          </w:tcPr>
          <w:p w14:paraId="30D04D48" w14:textId="2E47CC38" w:rsidR="00AA3EC0" w:rsidRDefault="00DB0F11">
            <w:pPr>
              <w:spacing w:before="120"/>
              <w:jc w:val="both"/>
              <w:rPr>
                <w:color w:val="000000"/>
                <w:sz w:val="18"/>
                <w:szCs w:val="18"/>
              </w:rPr>
            </w:pPr>
            <w:r w:rsidRPr="00DB0F11">
              <w:rPr>
                <w:color w:val="000000"/>
                <w:sz w:val="18"/>
                <w:szCs w:val="18"/>
              </w:rPr>
              <w:t xml:space="preserve">The rapid advancement of mobile technology has significantly transformed higher education, creating opportunities for more flexible, engaging, and personalized teaching approaches. This study examines the implementation of mobile learning marketing in teaching Introduction to Business courses in universities. Mobile learning marketing is defined as the integration of marketing principles such as value creation, engagement, personalization, and learner journey design—into mobile-based pedagogical strategies. Adopting a conceptual–theoretical approach, this study synthesizes existing literature, theoretical models, and educational frameworks to construct a comprehensive analytical perspective. The analysis draws upon pedagogical theories (constructivism, experiential learning, self-determination), technology integration models (TPACK, SAMR, </w:t>
            </w:r>
            <w:proofErr w:type="spellStart"/>
            <w:r w:rsidRPr="00DB0F11">
              <w:rPr>
                <w:color w:val="000000"/>
                <w:sz w:val="18"/>
                <w:szCs w:val="18"/>
              </w:rPr>
              <w:t>CoI</w:t>
            </w:r>
            <w:proofErr w:type="spellEnd"/>
            <w:r w:rsidRPr="00DB0F11">
              <w:rPr>
                <w:color w:val="000000"/>
                <w:sz w:val="18"/>
                <w:szCs w:val="18"/>
              </w:rPr>
              <w:t>), technology adoption theories (TAM, UTAUT), and marketing frameworks (service-dominant logic, customer engagement). Sources include peer-reviewed journals, books, and case studies published between 2010 and 2024. Findings highlight that mobile learning marketing can enhance student engagement, flexibility, and real-world relevance in business education. It allows learners to experience authentic business simulations, collaborate through mobile platforms, and access content anytime and anywhere. The approach aligns with students’ digital habits and fosters essential competencies such as adaptability, creativity, and entrepreneurial thinking. However, challenges persist, including the digital divide, faculty readiness, risks of cognitive overload, and limitations in assessment validity. The study concludes that mobile learning marketing is not simply a technological trend but a pedagogical innovation that repositions learning as a co-created service between educators and students. For successful implementation, universities must address infrastructural gaps, support faculty training, and design inclusive strategies that ensure equitable access. Future research should empirically evaluate the effectiveness of mobile learning marketing in Introduction to Business courses and explore its long-term impact on students’ entrepreneurial readiness.</w:t>
            </w:r>
            <w:r>
              <w:rPr>
                <w:color w:val="000000"/>
                <w:sz w:val="18"/>
                <w:szCs w:val="18"/>
              </w:rPr>
              <w:t xml:space="preserve"> </w:t>
            </w:r>
          </w:p>
        </w:tc>
      </w:tr>
      <w:tr w:rsidR="00AA3EC0" w14:paraId="4FAC252D" w14:textId="77777777" w:rsidTr="005B1500">
        <w:trPr>
          <w:trHeight w:val="212"/>
        </w:trPr>
        <w:tc>
          <w:tcPr>
            <w:tcW w:w="2552" w:type="dxa"/>
            <w:vMerge w:val="restart"/>
            <w:tcBorders>
              <w:left w:val="nil"/>
              <w:right w:val="nil"/>
            </w:tcBorders>
          </w:tcPr>
          <w:p w14:paraId="01A9139C" w14:textId="77777777" w:rsidR="00AA3EC0" w:rsidRDefault="00000000">
            <w:pPr>
              <w:jc w:val="both"/>
              <w:rPr>
                <w:b/>
              </w:rPr>
            </w:pPr>
            <w:r>
              <w:rPr>
                <w:b/>
              </w:rPr>
              <w:t>Corresponding Author:</w:t>
            </w:r>
          </w:p>
          <w:p w14:paraId="4E61FA8C" w14:textId="3FFE3F95" w:rsidR="00AA3EC0" w:rsidRPr="00DB0F11" w:rsidRDefault="00DB0F11" w:rsidP="000A7584">
            <w:pPr>
              <w:ind w:left="38"/>
              <w:jc w:val="both"/>
              <w:rPr>
                <w:b/>
                <w:bCs/>
              </w:rPr>
            </w:pPr>
            <w:proofErr w:type="spellStart"/>
            <w:r w:rsidRPr="00DB0F11">
              <w:t>Ninik</w:t>
            </w:r>
            <w:proofErr w:type="spellEnd"/>
            <w:r w:rsidRPr="00DB0F11">
              <w:t xml:space="preserve"> </w:t>
            </w:r>
            <w:proofErr w:type="spellStart"/>
            <w:r w:rsidRPr="00DB0F11">
              <w:t>Sudarwati</w:t>
            </w:r>
            <w:proofErr w:type="spellEnd"/>
            <w:r>
              <w:t xml:space="preserve">, </w:t>
            </w:r>
            <w:r w:rsidRPr="00DB0F11">
              <w:t>Dies Nurhayati</w:t>
            </w:r>
            <w:r>
              <w:t xml:space="preserve">, </w:t>
            </w:r>
            <w:r>
              <w:rPr>
                <w:lang w:val="en-ID"/>
              </w:rPr>
              <w:t xml:space="preserve">Endah </w:t>
            </w:r>
            <w:proofErr w:type="spellStart"/>
            <w:r>
              <w:rPr>
                <w:lang w:val="en-ID"/>
              </w:rPr>
              <w:t>Andayani</w:t>
            </w:r>
            <w:proofErr w:type="spellEnd"/>
          </w:p>
          <w:p w14:paraId="1FD5B384" w14:textId="37AC71BA" w:rsidR="00AA3EC0" w:rsidRDefault="00000000" w:rsidP="000A7584">
            <w:pPr>
              <w:ind w:left="38"/>
            </w:pPr>
            <w:r>
              <w:t>Affiliation</w:t>
            </w:r>
            <w:r w:rsidR="00DB0F11">
              <w:t xml:space="preserve"> </w:t>
            </w:r>
            <w:r>
              <w:t>1;</w:t>
            </w:r>
            <w:r w:rsidR="00DB0F11" w:rsidRPr="00DB0F11">
              <w:t xml:space="preserve"> </w:t>
            </w:r>
            <w:hyperlink r:id="rId9" w:history="1">
              <w:r w:rsidR="00DB0F11" w:rsidRPr="00495303">
                <w:rPr>
                  <w:rStyle w:val="Hyperlink"/>
                </w:rPr>
                <w:t>ninik.stkipjb@gmail.com</w:t>
              </w:r>
            </w:hyperlink>
            <w:r w:rsidR="00DB0F11">
              <w:t xml:space="preserve"> </w:t>
            </w:r>
          </w:p>
          <w:p w14:paraId="6454880C" w14:textId="77777777" w:rsidR="00AA3EC0" w:rsidRDefault="00000000">
            <w:pPr>
              <w:ind w:left="179"/>
              <w:jc w:val="both"/>
            </w:pPr>
            <w:r>
              <w:t xml:space="preserve"> </w:t>
            </w:r>
          </w:p>
        </w:tc>
        <w:tc>
          <w:tcPr>
            <w:tcW w:w="283" w:type="dxa"/>
            <w:tcBorders>
              <w:top w:val="nil"/>
              <w:left w:val="nil"/>
              <w:bottom w:val="nil"/>
              <w:right w:val="nil"/>
            </w:tcBorders>
          </w:tcPr>
          <w:p w14:paraId="19F41DF0" w14:textId="77777777" w:rsidR="00AA3EC0" w:rsidRDefault="00AA3EC0">
            <w:pPr>
              <w:spacing w:before="120"/>
              <w:jc w:val="both"/>
            </w:pPr>
          </w:p>
        </w:tc>
        <w:tc>
          <w:tcPr>
            <w:tcW w:w="5353" w:type="dxa"/>
            <w:vMerge w:val="restart"/>
            <w:tcBorders>
              <w:left w:val="nil"/>
              <w:right w:val="nil"/>
            </w:tcBorders>
          </w:tcPr>
          <w:p w14:paraId="452D310A" w14:textId="77777777" w:rsidR="00AA3EC0" w:rsidRDefault="00000000">
            <w:pPr>
              <w:jc w:val="right"/>
              <w:rPr>
                <w:color w:val="000000"/>
                <w:sz w:val="18"/>
                <w:szCs w:val="18"/>
              </w:rPr>
            </w:pPr>
            <w:r>
              <w:rPr>
                <w:rFonts w:ascii="Palatino Linotype" w:eastAsia="Palatino Linotype" w:hAnsi="Palatino Linotype" w:cs="Palatino Linotype"/>
                <w:i/>
                <w:color w:val="000000"/>
                <w:sz w:val="18"/>
                <w:szCs w:val="18"/>
              </w:rPr>
              <w:t xml:space="preserve">This is an open access article under the </w:t>
            </w:r>
            <w:hyperlink r:id="rId10">
              <w:r w:rsidR="00AA3EC0">
                <w:rPr>
                  <w:rFonts w:ascii="Palatino Linotype" w:eastAsia="Palatino Linotype" w:hAnsi="Palatino Linotype" w:cs="Palatino Linotype"/>
                  <w:i/>
                  <w:color w:val="0000FF"/>
                  <w:sz w:val="18"/>
                  <w:szCs w:val="18"/>
                  <w:u w:val="single"/>
                </w:rPr>
                <w:t>CC BY-NC-SA</w:t>
              </w:r>
            </w:hyperlink>
            <w:r>
              <w:rPr>
                <w:rFonts w:ascii="Palatino Linotype" w:eastAsia="Palatino Linotype" w:hAnsi="Palatino Linotype" w:cs="Palatino Linotype"/>
                <w:i/>
                <w:color w:val="000000"/>
                <w:sz w:val="18"/>
                <w:szCs w:val="18"/>
              </w:rPr>
              <w:t xml:space="preserve"> license.</w:t>
            </w:r>
          </w:p>
          <w:p w14:paraId="71BF36F4" w14:textId="77777777" w:rsidR="00AA3EC0" w:rsidRDefault="00000000">
            <w:pPr>
              <w:spacing w:before="120"/>
              <w:jc w:val="right"/>
              <w:rPr>
                <w:color w:val="000000"/>
                <w:sz w:val="18"/>
                <w:szCs w:val="18"/>
              </w:rPr>
            </w:pPr>
            <w:r>
              <w:rPr>
                <w:noProof/>
              </w:rPr>
              <w:drawing>
                <wp:anchor distT="0" distB="0" distL="114300" distR="114300" simplePos="0" relativeHeight="251658240" behindDoc="0" locked="0" layoutInCell="1" hidden="0" allowOverlap="1" wp14:anchorId="07799BA1" wp14:editId="5F541267">
                  <wp:simplePos x="0" y="0"/>
                  <wp:positionH relativeFrom="column">
                    <wp:posOffset>2211070</wp:posOffset>
                  </wp:positionH>
                  <wp:positionV relativeFrom="paragraph">
                    <wp:posOffset>15240</wp:posOffset>
                  </wp:positionV>
                  <wp:extent cx="1054509" cy="371475"/>
                  <wp:effectExtent l="0" t="0" r="0" b="0"/>
                  <wp:wrapNone/>
                  <wp:docPr id="5160126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054509" cy="371475"/>
                          </a:xfrm>
                          <a:prstGeom prst="rect">
                            <a:avLst/>
                          </a:prstGeom>
                          <a:ln/>
                        </pic:spPr>
                      </pic:pic>
                    </a:graphicData>
                  </a:graphic>
                </wp:anchor>
              </w:drawing>
            </w:r>
          </w:p>
        </w:tc>
      </w:tr>
      <w:tr w:rsidR="00AA3EC0" w14:paraId="22B2EE71" w14:textId="77777777" w:rsidTr="005B1500">
        <w:trPr>
          <w:trHeight w:val="70"/>
        </w:trPr>
        <w:tc>
          <w:tcPr>
            <w:tcW w:w="2552" w:type="dxa"/>
            <w:vMerge/>
            <w:tcBorders>
              <w:left w:val="nil"/>
              <w:right w:val="nil"/>
            </w:tcBorders>
          </w:tcPr>
          <w:p w14:paraId="1A1B16D4" w14:textId="77777777" w:rsidR="00AA3EC0" w:rsidRDefault="00AA3EC0">
            <w:pPr>
              <w:widowControl w:val="0"/>
              <w:pBdr>
                <w:top w:val="nil"/>
                <w:left w:val="nil"/>
                <w:bottom w:val="nil"/>
                <w:right w:val="nil"/>
                <w:between w:val="nil"/>
              </w:pBdr>
              <w:spacing w:line="276" w:lineRule="auto"/>
              <w:rPr>
                <w:color w:val="000000"/>
                <w:sz w:val="18"/>
                <w:szCs w:val="18"/>
              </w:rPr>
            </w:pPr>
          </w:p>
        </w:tc>
        <w:tc>
          <w:tcPr>
            <w:tcW w:w="283" w:type="dxa"/>
            <w:tcBorders>
              <w:top w:val="nil"/>
              <w:left w:val="nil"/>
              <w:bottom w:val="single" w:sz="4" w:space="0" w:color="000000"/>
              <w:right w:val="nil"/>
            </w:tcBorders>
          </w:tcPr>
          <w:p w14:paraId="1C477093" w14:textId="77777777" w:rsidR="00AA3EC0" w:rsidRDefault="00AA3EC0">
            <w:pPr>
              <w:spacing w:before="120"/>
              <w:jc w:val="both"/>
            </w:pPr>
          </w:p>
        </w:tc>
        <w:tc>
          <w:tcPr>
            <w:tcW w:w="5353" w:type="dxa"/>
            <w:vMerge/>
            <w:tcBorders>
              <w:left w:val="nil"/>
              <w:right w:val="nil"/>
            </w:tcBorders>
          </w:tcPr>
          <w:p w14:paraId="7BB67BA9" w14:textId="77777777" w:rsidR="00AA3EC0" w:rsidRDefault="00AA3EC0">
            <w:pPr>
              <w:widowControl w:val="0"/>
              <w:pBdr>
                <w:top w:val="nil"/>
                <w:left w:val="nil"/>
                <w:bottom w:val="nil"/>
                <w:right w:val="nil"/>
                <w:between w:val="nil"/>
              </w:pBdr>
              <w:spacing w:line="276" w:lineRule="auto"/>
            </w:pPr>
          </w:p>
        </w:tc>
      </w:tr>
    </w:tbl>
    <w:p w14:paraId="45723C0B" w14:textId="77777777" w:rsidR="00AA3EC0" w:rsidRDefault="00AA3EC0">
      <w:pPr>
        <w:jc w:val="both"/>
      </w:pPr>
    </w:p>
    <w:p w14:paraId="4A76476A" w14:textId="1351616F" w:rsidR="00AA3EC0" w:rsidRDefault="00000000">
      <w:pPr>
        <w:numPr>
          <w:ilvl w:val="0"/>
          <w:numId w:val="1"/>
        </w:numPr>
        <w:tabs>
          <w:tab w:val="left" w:pos="426"/>
        </w:tabs>
        <w:ind w:left="426" w:hanging="426"/>
        <w:rPr>
          <w:b/>
        </w:rPr>
      </w:pPr>
      <w:r>
        <w:rPr>
          <w:b/>
        </w:rPr>
        <w:t>INTRODUCTION</w:t>
      </w:r>
    </w:p>
    <w:p w14:paraId="3624F4DC" w14:textId="77777777" w:rsidR="002E6ED5" w:rsidRDefault="002E6ED5" w:rsidP="002E6ED5">
      <w:pPr>
        <w:ind w:firstLine="720"/>
        <w:jc w:val="both"/>
      </w:pPr>
      <w:r>
        <w:t>The 21st century has witnessed a profound transformation in higher education, influenced by globalization, technological advancements, and the changing characteristics of learners. With the proliferation of mobile technologies, smartphones, and digital platforms, mobile learning (m-learning) has emerged as a dominant educational innovation. Unlike traditional e-learning, which often relies on desktop access and structured online modules, mobile learning provides flexibility, portability, and interactivity that align with the habits of digital-native students (Kukulska-Hulme, 2017).</w:t>
      </w:r>
    </w:p>
    <w:p w14:paraId="42D259BD" w14:textId="77777777" w:rsidR="002E6ED5" w:rsidRDefault="002E6ED5" w:rsidP="002E6ED5">
      <w:pPr>
        <w:ind w:firstLine="720"/>
        <w:jc w:val="both"/>
      </w:pPr>
      <w:r>
        <w:lastRenderedPageBreak/>
        <w:t>At the same time, higher education institutions are under pressure to improve student engagement, provide more personalized learning experiences, and integrate real-world competencies into curricula. In this context, the use of marketing strategies in education, particularly when applied to mobile learning, has gained attention. The concept of mobile learning marketing positions learning as a “product” that needs to be promoted, packaged, and delivered in ways that appeal to students as consumers of knowledge. This is not to reduce education to commercial terms but to borrow marketing principles such as value creation, engagement, and customer-centric design to reframe teaching as an interactive, meaningful, and motivating process (Kotler &amp; Keller, 2016; Gikas &amp; Grant, 2013).</w:t>
      </w:r>
    </w:p>
    <w:p w14:paraId="1AC97BE2" w14:textId="77777777" w:rsidR="002E6ED5" w:rsidRDefault="002E6ED5" w:rsidP="002E6ED5">
      <w:pPr>
        <w:ind w:firstLine="720"/>
        <w:jc w:val="both"/>
      </w:pPr>
      <w:r>
        <w:t>In the specific case of business education, these changes are particularly critical. Courses such as Introduction to Business serve as gateway courses that provide foundational knowledge about entrepreneurship, marketing, organizational management, and the global economy. However, evidence suggests that traditional lecture-based methods often fail to fully engage students or foster the critical and entrepreneurial thinking required in modern business environments (Traxler, 2018). Students may perceive such courses as abstract or disconnected from practical realities. By integrating mobile learning marketing, educators can simulate real-world scenarios, engage students through gamified activities, and provide continuous access to interactive content, thereby transforming the learning process into a dynamic experience.</w:t>
      </w:r>
    </w:p>
    <w:p w14:paraId="7B22AE58" w14:textId="0816E27D" w:rsidR="00AA3EC0" w:rsidRDefault="002E6ED5" w:rsidP="001D660D">
      <w:pPr>
        <w:ind w:firstLine="720"/>
        <w:jc w:val="both"/>
      </w:pPr>
      <w:r>
        <w:t>The phenomenon examined in this study is the application of marketing-inspired mobile learning strategies in teaching Introduction to Business at universities. This includes the use of mobile applications (e.g., Google Classroom, Kahoot, Quizizz), digital marketing simulations, and gamified business case studies to facilitate student learning. The approach recognizes students as active participants whose learning experiences should be designed with the same care as marketing campaigns aimed at customers.</w:t>
      </w:r>
      <w:r w:rsidR="001D660D">
        <w:t xml:space="preserve"> </w:t>
      </w:r>
      <w:r>
        <w:t>Several factors highlight the significance of this phenomenon:</w:t>
      </w:r>
    </w:p>
    <w:p w14:paraId="798B976D" w14:textId="77777777" w:rsidR="001D660D" w:rsidRPr="001D660D" w:rsidRDefault="001D660D" w:rsidP="001D660D">
      <w:pPr>
        <w:pStyle w:val="ListParagraph"/>
        <w:numPr>
          <w:ilvl w:val="0"/>
          <w:numId w:val="5"/>
        </w:numPr>
        <w:ind w:left="360"/>
        <w:jc w:val="both"/>
        <w:rPr>
          <w:rFonts w:ascii="Times New Roman" w:hAnsi="Times New Roman"/>
          <w:sz w:val="20"/>
          <w:szCs w:val="20"/>
        </w:rPr>
      </w:pPr>
      <w:r w:rsidRPr="001D660D">
        <w:rPr>
          <w:rFonts w:ascii="Times New Roman" w:hAnsi="Times New Roman"/>
          <w:sz w:val="21"/>
          <w:szCs w:val="21"/>
        </w:rPr>
        <w:t xml:space="preserve">Changing learner characteristics: Today’s students are digital natives who expect interactivity, </w:t>
      </w:r>
      <w:r w:rsidRPr="001D660D">
        <w:rPr>
          <w:rFonts w:ascii="Times New Roman" w:hAnsi="Times New Roman"/>
          <w:sz w:val="20"/>
          <w:szCs w:val="20"/>
        </w:rPr>
        <w:t>immediacy, and personalization in education (Prensky, 2001; Sung et al., 2016).</w:t>
      </w:r>
    </w:p>
    <w:p w14:paraId="2DE21FC3" w14:textId="77777777" w:rsidR="001D660D" w:rsidRPr="001D660D" w:rsidRDefault="001D660D" w:rsidP="001D660D">
      <w:pPr>
        <w:pStyle w:val="ListParagraph"/>
        <w:numPr>
          <w:ilvl w:val="0"/>
          <w:numId w:val="5"/>
        </w:numPr>
        <w:ind w:left="360"/>
        <w:jc w:val="both"/>
        <w:rPr>
          <w:rFonts w:ascii="Times New Roman" w:hAnsi="Times New Roman"/>
          <w:sz w:val="20"/>
          <w:szCs w:val="20"/>
        </w:rPr>
      </w:pPr>
      <w:r w:rsidRPr="001D660D">
        <w:rPr>
          <w:rFonts w:ascii="Times New Roman" w:hAnsi="Times New Roman"/>
          <w:sz w:val="20"/>
          <w:szCs w:val="20"/>
        </w:rPr>
        <w:t>The rise of digital marketing in business practice: Since modern businesses increasingly rely on digital and mobile marketing strategies, embedding such approaches in teaching provides authenticity and practical relevance (Crompton &amp; Burke, 2018).</w:t>
      </w:r>
    </w:p>
    <w:p w14:paraId="3CCB03E9" w14:textId="77777777" w:rsidR="001D660D" w:rsidRPr="001D660D" w:rsidRDefault="001D660D" w:rsidP="001D660D">
      <w:pPr>
        <w:pStyle w:val="ListParagraph"/>
        <w:numPr>
          <w:ilvl w:val="0"/>
          <w:numId w:val="5"/>
        </w:numPr>
        <w:ind w:left="360"/>
        <w:jc w:val="both"/>
        <w:rPr>
          <w:rFonts w:ascii="Times New Roman" w:hAnsi="Times New Roman"/>
          <w:sz w:val="20"/>
          <w:szCs w:val="20"/>
        </w:rPr>
      </w:pPr>
      <w:r w:rsidRPr="001D660D">
        <w:rPr>
          <w:rFonts w:ascii="Times New Roman" w:hAnsi="Times New Roman"/>
          <w:sz w:val="20"/>
          <w:szCs w:val="20"/>
        </w:rPr>
        <w:t>Institutional competitiveness: Universities worldwide are adopting innovative pedagogies as part of their branding strategies to attract students and remain relevant in the knowledge economy (Traxler, 2018).</w:t>
      </w:r>
    </w:p>
    <w:p w14:paraId="7BF9A8B7" w14:textId="750ADCF1" w:rsidR="001D660D" w:rsidRDefault="001D660D" w:rsidP="001D660D">
      <w:pPr>
        <w:pStyle w:val="ListParagraph"/>
        <w:numPr>
          <w:ilvl w:val="0"/>
          <w:numId w:val="5"/>
        </w:numPr>
        <w:ind w:left="360"/>
        <w:jc w:val="both"/>
        <w:rPr>
          <w:rFonts w:ascii="Times New Roman" w:hAnsi="Times New Roman"/>
          <w:sz w:val="20"/>
          <w:szCs w:val="20"/>
        </w:rPr>
      </w:pPr>
      <w:r w:rsidRPr="001D660D">
        <w:rPr>
          <w:rFonts w:ascii="Times New Roman" w:hAnsi="Times New Roman"/>
          <w:sz w:val="20"/>
          <w:szCs w:val="20"/>
        </w:rPr>
        <w:t>Post-pandemic acceleration: The COVID-19 pandemic forced higher education to adopt digital learning at unprecedented speed, revealing both the potential and limitations of mobile learning (Crompton &amp; Burke, 2020).</w:t>
      </w:r>
    </w:p>
    <w:p w14:paraId="3121F313" w14:textId="204BBB50" w:rsidR="001D660D" w:rsidRPr="001D660D" w:rsidRDefault="001D660D" w:rsidP="005B1500">
      <w:pPr>
        <w:ind w:firstLine="720"/>
        <w:jc w:val="both"/>
      </w:pPr>
      <w:r w:rsidRPr="001D660D">
        <w:t>The significance of exploring mobile learning marketing lies in its potential to bridge gaps between pedagogy and practice in business education. By adopting marketing principles, educators can make learning more appealing, relevant, and effective. For instance, gamified marketing simulations allow students to test theories in controlled environments, while mobile apps provide real-time feedback and opportunities for collaboration.</w:t>
      </w:r>
      <w:r w:rsidR="005B1500">
        <w:t xml:space="preserve"> </w:t>
      </w:r>
      <w:r w:rsidRPr="001D660D">
        <w:t>Moreover, this study contributes to ongoing discussions about student-centered pedagogy, digital transformation in education, and innovation in business curricula. For higher education institutions in developing contexts, especially, mobile learning offers a cost-effective and scalable solution to increase access and engagement. However, it also poses challenges, such as the digital divide between students with varying levels of access to technology, and the need for faculty training in digital pedagogy (Kearney et al., 2012).</w:t>
      </w:r>
    </w:p>
    <w:p w14:paraId="7E76EEFC" w14:textId="77777777" w:rsidR="001D660D" w:rsidRPr="001D660D" w:rsidRDefault="001D660D" w:rsidP="001D660D">
      <w:pPr>
        <w:ind w:firstLine="720"/>
        <w:jc w:val="both"/>
      </w:pPr>
      <w:r w:rsidRPr="001D660D">
        <w:t>Previous research has consistently demonstrated that mobile learning improves student engagement, fosters autonomy, and enhances performance across disciplines. Engagement: Mobile learning increases student motivation and participation by offering interactive tools (Gikas &amp; Grant, 2013). Flexibility: Students benefit from on-demand access to resources, which supports self-directed learning (Sung et al., 2016). Practical relevance: In business education, mobile-based case studies and simulations replicate real market conditions, strengthening problem-solving skills (Crompton &amp; Burke, 2018).</w:t>
      </w:r>
    </w:p>
    <w:p w14:paraId="33BB4241" w14:textId="77777777" w:rsidR="001D660D" w:rsidRPr="001D660D" w:rsidRDefault="001D660D" w:rsidP="001D660D">
      <w:pPr>
        <w:ind w:firstLine="720"/>
        <w:jc w:val="both"/>
      </w:pPr>
      <w:r w:rsidRPr="001D660D">
        <w:t>However, limitations remain: Not all students and institutions have equal access to high-quality internet and devices (digital divide) (Traxler, 2018). Faculty may lack the digital literacy or pedagogical training needed to fully exploit mobile platforms (Kearney et al., 2012). Mobile devices can distract students if not carefully managed within structured learning designs (Sung et al., 2016). This duality underscores the importance of studying not only the benefits but also the challenges of implementing mobile learning marketing in Introduction to Business courses.</w:t>
      </w:r>
    </w:p>
    <w:p w14:paraId="08E83EF4" w14:textId="401ACD11" w:rsidR="001D660D" w:rsidRPr="001D660D" w:rsidRDefault="001D660D" w:rsidP="001D660D">
      <w:pPr>
        <w:ind w:firstLine="720"/>
        <w:jc w:val="both"/>
      </w:pPr>
      <w:r w:rsidRPr="001D660D">
        <w:t xml:space="preserve">The purpose of this chapter is to critically examine how marketing-inspired mobile learning strategies can be implemented in higher education, with a focus on teaching Introduction to Business. By analyzing </w:t>
      </w:r>
      <w:r w:rsidRPr="001D660D">
        <w:lastRenderedPageBreak/>
        <w:t>existing literature, identifying best practices, and evaluating challenges, the study seeks to generate insights into how mobile learning can be designed and delivered in ways that maximize its potential while mitigating risks. Research Objectives and Question, to analyze the role of mobile learning marketing in enhancing engagement and learning outcomes in Introduction to Business courses. to evaluate the benefits and challenges of implementing mobile learning marketing in higher education.to propose strategies for effective integration of mobile learning marketing in business education. Research Questions: How can mobile learning marketing be effectively applied in teaching Introduction to Business in higher education? What pedagogical benefits and challenges arise from its implementation? How does mobile learning marketing contribute to student engagement and the acquisition of practical business competencies?</w:t>
      </w:r>
    </w:p>
    <w:p w14:paraId="7C876AD0" w14:textId="77777777" w:rsidR="00AA3EC0" w:rsidRDefault="00AA3EC0">
      <w:pPr>
        <w:ind w:firstLine="720"/>
        <w:jc w:val="both"/>
      </w:pPr>
    </w:p>
    <w:p w14:paraId="7219AFB6" w14:textId="7F2F31F8" w:rsidR="00AA3EC0" w:rsidRDefault="00000000">
      <w:pPr>
        <w:numPr>
          <w:ilvl w:val="0"/>
          <w:numId w:val="1"/>
        </w:numPr>
        <w:tabs>
          <w:tab w:val="left" w:pos="426"/>
        </w:tabs>
        <w:ind w:left="426" w:hanging="426"/>
      </w:pPr>
      <w:r>
        <w:rPr>
          <w:b/>
        </w:rPr>
        <w:t>METHODS</w:t>
      </w:r>
    </w:p>
    <w:p w14:paraId="3E3540E4" w14:textId="14EB4E87" w:rsidR="005B1500" w:rsidRDefault="005B1500" w:rsidP="005B1500">
      <w:pPr>
        <w:ind w:firstLine="720"/>
        <w:jc w:val="both"/>
      </w:pPr>
      <w:r w:rsidRPr="005B1500">
        <w:t>Because this chapter is conceptual and theoretical in nature, the methodology is framed as an analytical framework rather than empirical research. The study does not rely on direct participants or survey instruments but instead on the systematic analysis of scholarly literature, theoretical constructs, and educational practices related to mobile learning, marketing in education, and business pedagogy.</w:t>
      </w:r>
      <w:r>
        <w:t xml:space="preserve"> This study adopts a normative–conceptual approach (sometimes called doctrinal or desk research), which emphasizes the review, interpretation, and synthesis of existing theories and literature to build an argument. The purpose is not to test hypotheses through data collection but to construct a conceptual model for implementing mobile learning marketing in higher education business courses. The approach is descriptive–analytical:</w:t>
      </w:r>
    </w:p>
    <w:p w14:paraId="10616122" w14:textId="77777777" w:rsidR="005B1500" w:rsidRPr="005B1500" w:rsidRDefault="005B1500" w:rsidP="005B1500">
      <w:pPr>
        <w:pStyle w:val="ListParagraph"/>
        <w:numPr>
          <w:ilvl w:val="0"/>
          <w:numId w:val="6"/>
        </w:numPr>
        <w:ind w:left="567"/>
        <w:jc w:val="both"/>
        <w:rPr>
          <w:rFonts w:ascii="Times New Roman" w:hAnsi="Times New Roman"/>
          <w:sz w:val="20"/>
          <w:szCs w:val="20"/>
        </w:rPr>
      </w:pPr>
      <w:r w:rsidRPr="005B1500">
        <w:rPr>
          <w:rFonts w:ascii="Times New Roman" w:hAnsi="Times New Roman"/>
          <w:sz w:val="20"/>
          <w:szCs w:val="20"/>
        </w:rPr>
        <w:t>Descriptive, in outlining how mobile learning and marketing strategies have been applied in higher education contexts.</w:t>
      </w:r>
    </w:p>
    <w:p w14:paraId="4B70B144" w14:textId="06D40F73" w:rsidR="005B1500" w:rsidRDefault="005B1500" w:rsidP="005B1500">
      <w:pPr>
        <w:pStyle w:val="ListParagraph"/>
        <w:numPr>
          <w:ilvl w:val="0"/>
          <w:numId w:val="6"/>
        </w:numPr>
        <w:ind w:left="567"/>
        <w:jc w:val="both"/>
        <w:rPr>
          <w:rFonts w:ascii="Times New Roman" w:hAnsi="Times New Roman"/>
          <w:sz w:val="20"/>
          <w:szCs w:val="20"/>
        </w:rPr>
      </w:pPr>
      <w:r w:rsidRPr="005B1500">
        <w:rPr>
          <w:rFonts w:ascii="Times New Roman" w:hAnsi="Times New Roman"/>
          <w:sz w:val="20"/>
          <w:szCs w:val="20"/>
        </w:rPr>
        <w:t>Analytical, in critically examining how these practices intersect with the pedagogical needs of Introduction to Business courses.</w:t>
      </w:r>
    </w:p>
    <w:p w14:paraId="1FA1AFD2" w14:textId="7994EC09" w:rsidR="005B1500" w:rsidRPr="005B1500" w:rsidRDefault="005B1500" w:rsidP="005B1500">
      <w:pPr>
        <w:jc w:val="both"/>
        <w:rPr>
          <w:i/>
          <w:iCs/>
        </w:rPr>
      </w:pPr>
      <w:r w:rsidRPr="005B1500">
        <w:rPr>
          <w:i/>
          <w:iCs/>
        </w:rPr>
        <w:t>Data Sources</w:t>
      </w:r>
    </w:p>
    <w:p w14:paraId="445A4472" w14:textId="77777777" w:rsidR="000A7584" w:rsidRDefault="000A7584" w:rsidP="000A7584">
      <w:pPr>
        <w:ind w:firstLine="720"/>
        <w:jc w:val="both"/>
        <w:rPr>
          <w:lang w:val="en-GB" w:eastAsia="en-GB"/>
        </w:rPr>
      </w:pPr>
      <w:r w:rsidRPr="000A7584">
        <w:rPr>
          <w:lang w:val="en-GB" w:eastAsia="en-GB"/>
        </w:rPr>
        <w:t>The data used in this study were obtained from theoretical and empirical literature related to mobile learning, technology integration, business education, and marketing management. The theoretical foundation included studies on mobile learning (Koole, 2009; Kukulska-Hulme, 2017), experiential and sociocultural learning theories (Kolb, 1984; Vygotsky, 1978), marketing management (Kotler &amp; Keller, 2016), value co-creation (Vargo &amp; Lusch, 2008), and technology integration and adoption models such as TPACK (Mishra &amp; Koehler, 2006), SAMR (</w:t>
      </w:r>
      <w:proofErr w:type="spellStart"/>
      <w:r w:rsidRPr="000A7584">
        <w:rPr>
          <w:lang w:val="en-GB" w:eastAsia="en-GB"/>
        </w:rPr>
        <w:t>Puentedura</w:t>
      </w:r>
      <w:proofErr w:type="spellEnd"/>
      <w:r w:rsidRPr="000A7584">
        <w:rPr>
          <w:lang w:val="en-GB" w:eastAsia="en-GB"/>
        </w:rPr>
        <w:t>, 2013), and UTAUT (Venkatesh et al., 2003). The empirical data consisted of peer-reviewed journal articles examining the implementation and effectiveness of mobile learning in higher education and business education (Crompton &amp; Burke, 2018; Hsu &amp; Ching, 2015; Sung et al., 2016; Traxler, 2018). Supporting information was obtained from institutional reports, including UNESCO (2020), and relevant academic reference works. The literature was identified through Scopus, ERIC, and Google Scholar using keywords related to mobile learning, higher education, business education, technology integration, and learning effectiveness.</w:t>
      </w:r>
    </w:p>
    <w:p w14:paraId="72BA3851" w14:textId="77777777" w:rsidR="000A7584" w:rsidRDefault="000A7584" w:rsidP="000A7584">
      <w:pPr>
        <w:jc w:val="both"/>
        <w:rPr>
          <w:lang w:val="en-GB" w:eastAsia="en-GB"/>
        </w:rPr>
      </w:pPr>
    </w:p>
    <w:p w14:paraId="16C7D662" w14:textId="77777777" w:rsidR="000A7584" w:rsidRDefault="000A7584" w:rsidP="000A7584">
      <w:pPr>
        <w:jc w:val="both"/>
        <w:rPr>
          <w:i/>
          <w:iCs/>
          <w:lang w:val="en-GB" w:eastAsia="en-GB"/>
        </w:rPr>
      </w:pPr>
      <w:r>
        <w:rPr>
          <w:i/>
          <w:iCs/>
          <w:lang w:val="en-GB" w:eastAsia="en-GB"/>
        </w:rPr>
        <w:t>Analytical Framework and Tools</w:t>
      </w:r>
    </w:p>
    <w:p w14:paraId="349DA167" w14:textId="47CEEF34" w:rsidR="00AA3EC0" w:rsidRDefault="000A7584" w:rsidP="000A7584">
      <w:pPr>
        <w:ind w:firstLine="720"/>
        <w:jc w:val="both"/>
      </w:pPr>
      <w:r w:rsidRPr="000A7584">
        <w:t>As a conceptual study, this research employed analytical tools rather than conventional research instruments. Three complementary techniques were used. First, framework analysis was applied to examine the contribution of relevant theoretical models, including Technological Pedagogical Content Knowledge (TPACK), the Community of Inquiry (</w:t>
      </w:r>
      <w:proofErr w:type="spellStart"/>
      <w:r w:rsidRPr="000A7584">
        <w:t>CoI</w:t>
      </w:r>
      <w:proofErr w:type="spellEnd"/>
      <w:r w:rsidRPr="000A7584">
        <w:t xml:space="preserve">), Self-Determination Theory (SDT), the Technology Acceptance Model (TAM), and the Unified Theory of Acceptance and Use of Technology (UTAUT), to the understanding of mobile learning in business and marketing education. Second, comparative synthesis was used to identify similarities, differences, and recurring patterns across previous studies on higher education, marketing education, and business-related courses. Third, conceptual mapping was conducted to organize the relationships among mobile learning, pedagogy, technology adoption, and marketing principles in developing a framework applicable to the Introduction to Business course. </w:t>
      </w:r>
    </w:p>
    <w:p w14:paraId="7DA4B34E" w14:textId="77777777" w:rsidR="000A7584" w:rsidRDefault="000A7584" w:rsidP="000A7584">
      <w:pPr>
        <w:jc w:val="both"/>
      </w:pPr>
    </w:p>
    <w:p w14:paraId="68A57B65" w14:textId="61C9FB15" w:rsidR="000A7584" w:rsidRPr="000A7584" w:rsidRDefault="000A7584" w:rsidP="000A7584">
      <w:pPr>
        <w:jc w:val="both"/>
        <w:rPr>
          <w:i/>
          <w:iCs/>
        </w:rPr>
      </w:pPr>
      <w:r w:rsidRPr="000A7584">
        <w:rPr>
          <w:i/>
          <w:iCs/>
        </w:rPr>
        <w:t>Research Procedure</w:t>
      </w:r>
    </w:p>
    <w:p w14:paraId="7F594D76" w14:textId="6B63D316" w:rsidR="000A7584" w:rsidRDefault="000A7584" w:rsidP="000A7584">
      <w:pPr>
        <w:jc w:val="both"/>
      </w:pPr>
      <w:r w:rsidRPr="000A7584">
        <w:t xml:space="preserve">The study was conducted in four stages. First, relevant scholarly publications issued between 2010 and 2024 were identified through a structured literature search focusing on mobile learning, educational marketing, and business pedagogy. Second, the selected literature was categorized into three major themes: (1) the benefits and challenges of mobile learning, (2) the application of marketing principles in education, and (3) pedagogical and technology-adoption models relevant to business courses. Third, the literature within each theme was critically evaluated in relation to the characteristics and learning needs of Introduction to Business as a </w:t>
      </w:r>
      <w:r w:rsidRPr="000A7584">
        <w:lastRenderedPageBreak/>
        <w:t>foundational university course. This stage focused on identifying theoretical contributions, practical strengths, conceptual limitations, and research gaps. Finally, the findings were integrated to develop a conceptual framework for the implementation of mobile learning and marketing principles in the teaching of Introduction to Business.</w:t>
      </w:r>
    </w:p>
    <w:p w14:paraId="4839A755" w14:textId="77777777" w:rsidR="000A7584" w:rsidRDefault="000A7584" w:rsidP="000A7584">
      <w:pPr>
        <w:jc w:val="both"/>
      </w:pPr>
    </w:p>
    <w:p w14:paraId="1FD96F6A" w14:textId="56A75724" w:rsidR="000A7584" w:rsidRPr="000A7584" w:rsidRDefault="000A7584" w:rsidP="000A7584">
      <w:pPr>
        <w:jc w:val="both"/>
        <w:rPr>
          <w:i/>
          <w:iCs/>
        </w:rPr>
      </w:pPr>
      <w:r w:rsidRPr="000A7584">
        <w:rPr>
          <w:i/>
          <w:iCs/>
        </w:rPr>
        <w:t>Data Analysis</w:t>
      </w:r>
    </w:p>
    <w:p w14:paraId="26EA3848" w14:textId="23285CBC" w:rsidR="000A7584" w:rsidRPr="000A7584" w:rsidRDefault="000A7584" w:rsidP="009C1ED2">
      <w:pPr>
        <w:ind w:firstLine="426"/>
        <w:jc w:val="both"/>
      </w:pPr>
      <w:r>
        <w:t xml:space="preserve">The data were analyzed using descriptive, critical, and prescriptive reasoning. Descriptive analysis was used to map how mobile learning, technology-adoption models, and marketing strategies have been conceptualized and implemented in higher education. Critical analysis was conducted to identify limitations, inconsistencies, and gaps in existing approaches, particularly in relation to student engagement and the instructional needs of business students. Prescriptive analysis was then used to integrate pedagogical frameworks, including TPACK and </w:t>
      </w:r>
      <w:proofErr w:type="spellStart"/>
      <w:r>
        <w:t>CoI</w:t>
      </w:r>
      <w:proofErr w:type="spellEnd"/>
      <w:r>
        <w:t>, technology-adoption models such as TAM and UTAUT, and marketing concepts such as value co-creation and student engagement journeys. Through these analytical stages, the study developed a conceptual framework that is theoretically grounded, contextually relevant, and potentially applicable to the design and implementation of mobile learning in university-level Introduction to Business courses.</w:t>
      </w:r>
    </w:p>
    <w:p w14:paraId="1E45B699" w14:textId="77777777" w:rsidR="00AA3EC0" w:rsidRDefault="00AA3EC0">
      <w:pPr>
        <w:jc w:val="both"/>
      </w:pPr>
    </w:p>
    <w:p w14:paraId="3F863083" w14:textId="77777777" w:rsidR="00AA3EC0" w:rsidRDefault="00AA3EC0" w:rsidP="000A7584">
      <w:pPr>
        <w:jc w:val="both"/>
        <w:rPr>
          <w:color w:val="000000"/>
        </w:rPr>
      </w:pPr>
    </w:p>
    <w:p w14:paraId="19FFE477" w14:textId="16F2E2FF" w:rsidR="00AA3EC0" w:rsidRDefault="00000000">
      <w:pPr>
        <w:numPr>
          <w:ilvl w:val="0"/>
          <w:numId w:val="1"/>
        </w:numPr>
        <w:tabs>
          <w:tab w:val="left" w:pos="426"/>
        </w:tabs>
        <w:ind w:left="426" w:hanging="426"/>
        <w:rPr>
          <w:b/>
        </w:rPr>
      </w:pPr>
      <w:r>
        <w:rPr>
          <w:b/>
        </w:rPr>
        <w:t>RESULTS AND DISCUSSION</w:t>
      </w:r>
    </w:p>
    <w:p w14:paraId="56F9BD04" w14:textId="77777777" w:rsidR="009C1ED2" w:rsidRPr="009C1ED2" w:rsidRDefault="009C1ED2" w:rsidP="00B96D6A">
      <w:pPr>
        <w:ind w:firstLine="426"/>
        <w:jc w:val="both"/>
        <w:rPr>
          <w:bCs/>
        </w:rPr>
      </w:pPr>
      <w:r w:rsidRPr="009C1ED2">
        <w:rPr>
          <w:bCs/>
        </w:rPr>
        <w:t>This section presents the findings of the study and provides an in-depth discussion in relation to the research questions, existing literature, and theoretical frameworks. The discussion goes beyond description, offering personal critical reflections on the significance of mobile learning marketing for teaching Introduction to Business in higher education.</w:t>
      </w:r>
    </w:p>
    <w:p w14:paraId="51962D34" w14:textId="77777777" w:rsidR="00B96D6A" w:rsidRDefault="00B96D6A" w:rsidP="00B96D6A">
      <w:pPr>
        <w:tabs>
          <w:tab w:val="left" w:pos="426"/>
        </w:tabs>
        <w:rPr>
          <w:bCs/>
          <w:i/>
          <w:iCs/>
        </w:rPr>
      </w:pPr>
    </w:p>
    <w:p w14:paraId="45D51B05" w14:textId="198C28E0" w:rsidR="009C1ED2" w:rsidRPr="00B96D6A" w:rsidRDefault="009C1ED2" w:rsidP="00B96D6A">
      <w:pPr>
        <w:pStyle w:val="ListParagraph"/>
        <w:numPr>
          <w:ilvl w:val="0"/>
          <w:numId w:val="8"/>
        </w:numPr>
        <w:tabs>
          <w:tab w:val="left" w:pos="426"/>
        </w:tabs>
        <w:spacing w:after="0"/>
        <w:ind w:left="426"/>
        <w:rPr>
          <w:rFonts w:ascii="Times New Roman" w:hAnsi="Times New Roman"/>
          <w:bCs/>
          <w:i/>
          <w:iCs/>
          <w:sz w:val="20"/>
          <w:szCs w:val="20"/>
        </w:rPr>
      </w:pPr>
      <w:r w:rsidRPr="00B96D6A">
        <w:rPr>
          <w:rFonts w:ascii="Times New Roman" w:hAnsi="Times New Roman"/>
          <w:bCs/>
          <w:i/>
          <w:iCs/>
          <w:sz w:val="20"/>
          <w:szCs w:val="20"/>
        </w:rPr>
        <w:t>The Role of Mobile Learning Marketing in Teaching Introduction to Business</w:t>
      </w:r>
    </w:p>
    <w:p w14:paraId="26D88F8E" w14:textId="77777777" w:rsidR="00B96D6A" w:rsidRDefault="00B96D6A" w:rsidP="00B96D6A">
      <w:pPr>
        <w:tabs>
          <w:tab w:val="left" w:pos="426"/>
        </w:tabs>
        <w:jc w:val="both"/>
        <w:rPr>
          <w:bCs/>
        </w:rPr>
      </w:pPr>
      <w:r>
        <w:rPr>
          <w:bCs/>
        </w:rPr>
        <w:tab/>
      </w:r>
      <w:r w:rsidR="009C1ED2" w:rsidRPr="009C1ED2">
        <w:rPr>
          <w:bCs/>
        </w:rPr>
        <w:t>The first research question explored how mobile learning marketing can be effectively applied in higher education. Findings indicate that mobile learning marketing works best when conceived not merely as a technical tool, but as a pedagogical strategy informed by marketing principles. In particular, the integration of value creation, engagement journeys, and personalization allows educators to design learning experiences that mirror the dynamics of modern business practices.</w:t>
      </w:r>
    </w:p>
    <w:p w14:paraId="4F310D9E" w14:textId="2E9A76EB" w:rsidR="009C1ED2" w:rsidRPr="009C1ED2" w:rsidRDefault="00B96D6A" w:rsidP="00B96D6A">
      <w:pPr>
        <w:tabs>
          <w:tab w:val="left" w:pos="426"/>
        </w:tabs>
        <w:jc w:val="both"/>
        <w:rPr>
          <w:bCs/>
        </w:rPr>
      </w:pPr>
      <w:r>
        <w:rPr>
          <w:bCs/>
        </w:rPr>
        <w:tab/>
      </w:r>
      <w:r w:rsidR="009C1ED2" w:rsidRPr="009C1ED2">
        <w:rPr>
          <w:bCs/>
        </w:rPr>
        <w:t>By mapping marketing principles onto mobile learning strategies, it becomes evident that learning can be treated as a co-created service. For instance, the concept of a “customer journey” in marketing translates effectively into a “learner journey,” where students progress from initial exposure (awareness) to deeper mastery (action and reflection).</w:t>
      </w:r>
      <w:r>
        <w:rPr>
          <w:bCs/>
        </w:rPr>
        <w:t xml:space="preserve"> </w:t>
      </w:r>
      <w:r w:rsidR="009C1ED2" w:rsidRPr="009C1ED2">
        <w:rPr>
          <w:bCs/>
        </w:rPr>
        <w:t>Table 1 demonstrates how marketing concepts can be operationalized in business education.</w:t>
      </w:r>
    </w:p>
    <w:p w14:paraId="7435A5D5" w14:textId="77777777" w:rsidR="00B96D6A" w:rsidRPr="009C1ED2" w:rsidRDefault="00B96D6A" w:rsidP="009C1ED2">
      <w:pPr>
        <w:tabs>
          <w:tab w:val="left" w:pos="426"/>
        </w:tabs>
        <w:ind w:left="426"/>
        <w:rPr>
          <w:bCs/>
        </w:rPr>
      </w:pPr>
    </w:p>
    <w:p w14:paraId="4F741300" w14:textId="11CA40F7" w:rsidR="00B96D6A" w:rsidRDefault="00B96D6A" w:rsidP="00B96D6A">
      <w:pPr>
        <w:tabs>
          <w:tab w:val="left" w:pos="426"/>
        </w:tabs>
        <w:ind w:left="426"/>
        <w:rPr>
          <w:bCs/>
        </w:rPr>
      </w:pPr>
      <w:r>
        <w:rPr>
          <w:bCs/>
        </w:rPr>
        <w:t xml:space="preserve">Table 1. </w:t>
      </w:r>
      <w:r w:rsidR="009C1ED2" w:rsidRPr="009C1ED2">
        <w:rPr>
          <w:bCs/>
        </w:rPr>
        <w:t>Mapping Marketing Principles to Mobile Learning Practices in Business Education</w:t>
      </w:r>
    </w:p>
    <w:tbl>
      <w:tblPr>
        <w:tblW w:w="0" w:type="auto"/>
        <w:tblBorders>
          <w:top w:val="single" w:sz="4" w:space="0" w:color="auto"/>
          <w:bottom w:val="single" w:sz="4" w:space="0" w:color="auto"/>
        </w:tblBorders>
        <w:tblLook w:val="04A0" w:firstRow="1" w:lastRow="0" w:firstColumn="1" w:lastColumn="0" w:noHBand="0" w:noVBand="1"/>
      </w:tblPr>
      <w:tblGrid>
        <w:gridCol w:w="2127"/>
        <w:gridCol w:w="3326"/>
        <w:gridCol w:w="3335"/>
      </w:tblGrid>
      <w:tr w:rsidR="00B96D6A" w:rsidRPr="00B96D6A" w14:paraId="056B0ECE" w14:textId="77777777" w:rsidTr="00B96D6A">
        <w:tc>
          <w:tcPr>
            <w:tcW w:w="2127" w:type="dxa"/>
            <w:hideMark/>
          </w:tcPr>
          <w:p w14:paraId="7A562891" w14:textId="77777777" w:rsidR="00B96D6A" w:rsidRPr="00B96D6A" w:rsidRDefault="00B96D6A" w:rsidP="0000112C">
            <w:pPr>
              <w:jc w:val="both"/>
              <w:rPr>
                <w:rFonts w:eastAsia="Aptos"/>
              </w:rPr>
            </w:pPr>
            <w:r w:rsidRPr="00B96D6A">
              <w:rPr>
                <w:rFonts w:eastAsia="Aptos"/>
              </w:rPr>
              <w:t>Marketing Principle</w:t>
            </w:r>
          </w:p>
        </w:tc>
        <w:tc>
          <w:tcPr>
            <w:tcW w:w="3326" w:type="dxa"/>
            <w:hideMark/>
          </w:tcPr>
          <w:p w14:paraId="565F2E0C" w14:textId="77777777" w:rsidR="00B96D6A" w:rsidRPr="00B96D6A" w:rsidRDefault="00B96D6A" w:rsidP="0000112C">
            <w:pPr>
              <w:jc w:val="both"/>
              <w:rPr>
                <w:rFonts w:eastAsia="Aptos"/>
              </w:rPr>
            </w:pPr>
            <w:r w:rsidRPr="00B96D6A">
              <w:rPr>
                <w:rFonts w:eastAsia="Aptos"/>
              </w:rPr>
              <w:t>Application in Mobile Learning (Business Context)</w:t>
            </w:r>
          </w:p>
        </w:tc>
        <w:tc>
          <w:tcPr>
            <w:tcW w:w="0" w:type="auto"/>
            <w:hideMark/>
          </w:tcPr>
          <w:p w14:paraId="1C766771" w14:textId="77777777" w:rsidR="00B96D6A" w:rsidRPr="00B96D6A" w:rsidRDefault="00B96D6A" w:rsidP="0000112C">
            <w:pPr>
              <w:jc w:val="both"/>
              <w:rPr>
                <w:rFonts w:eastAsia="Aptos"/>
              </w:rPr>
            </w:pPr>
            <w:r w:rsidRPr="00B96D6A">
              <w:rPr>
                <w:rFonts w:eastAsia="Aptos"/>
              </w:rPr>
              <w:t xml:space="preserve">Example in </w:t>
            </w:r>
            <w:r w:rsidRPr="00B96D6A">
              <w:rPr>
                <w:rStyle w:val="Emphasis"/>
                <w:rFonts w:eastAsia="Aptos"/>
              </w:rPr>
              <w:t>Introduction to Business</w:t>
            </w:r>
            <w:r w:rsidRPr="00B96D6A">
              <w:rPr>
                <w:rFonts w:eastAsia="Aptos"/>
              </w:rPr>
              <w:t xml:space="preserve"> Course</w:t>
            </w:r>
          </w:p>
        </w:tc>
      </w:tr>
      <w:tr w:rsidR="00B96D6A" w:rsidRPr="00B96D6A" w14:paraId="2C39F830" w14:textId="77777777" w:rsidTr="00B96D6A">
        <w:tc>
          <w:tcPr>
            <w:tcW w:w="2127" w:type="dxa"/>
            <w:hideMark/>
          </w:tcPr>
          <w:p w14:paraId="7723A383" w14:textId="77777777" w:rsidR="00B96D6A" w:rsidRPr="00B96D6A" w:rsidRDefault="00B96D6A" w:rsidP="0000112C">
            <w:pPr>
              <w:jc w:val="both"/>
              <w:rPr>
                <w:rFonts w:eastAsia="Aptos"/>
              </w:rPr>
            </w:pPr>
            <w:r w:rsidRPr="00B96D6A">
              <w:rPr>
                <w:rFonts w:eastAsia="Aptos"/>
              </w:rPr>
              <w:t>Value Proposition</w:t>
            </w:r>
          </w:p>
        </w:tc>
        <w:tc>
          <w:tcPr>
            <w:tcW w:w="3326" w:type="dxa"/>
            <w:hideMark/>
          </w:tcPr>
          <w:p w14:paraId="2D44DF03" w14:textId="77777777" w:rsidR="00B96D6A" w:rsidRPr="00B96D6A" w:rsidRDefault="00B96D6A" w:rsidP="0000112C">
            <w:pPr>
              <w:jc w:val="both"/>
              <w:rPr>
                <w:rFonts w:eastAsia="Aptos"/>
              </w:rPr>
            </w:pPr>
            <w:r w:rsidRPr="00B96D6A">
              <w:rPr>
                <w:rFonts w:eastAsia="Aptos"/>
              </w:rPr>
              <w:t>Aligning content with student goals and career aspirations</w:t>
            </w:r>
          </w:p>
        </w:tc>
        <w:tc>
          <w:tcPr>
            <w:tcW w:w="0" w:type="auto"/>
            <w:hideMark/>
          </w:tcPr>
          <w:p w14:paraId="462C4AAF" w14:textId="77777777" w:rsidR="00B96D6A" w:rsidRPr="00B96D6A" w:rsidRDefault="00B96D6A" w:rsidP="0000112C">
            <w:pPr>
              <w:jc w:val="both"/>
              <w:rPr>
                <w:rFonts w:eastAsia="Aptos"/>
              </w:rPr>
            </w:pPr>
            <w:r w:rsidRPr="00B96D6A">
              <w:rPr>
                <w:rFonts w:eastAsia="Aptos"/>
              </w:rPr>
              <w:t>Case study of start-ups to illustrate entrepreneurship</w:t>
            </w:r>
          </w:p>
        </w:tc>
      </w:tr>
      <w:tr w:rsidR="00B96D6A" w:rsidRPr="00B96D6A" w14:paraId="54E270F7" w14:textId="77777777" w:rsidTr="00B96D6A">
        <w:tc>
          <w:tcPr>
            <w:tcW w:w="2127" w:type="dxa"/>
            <w:hideMark/>
          </w:tcPr>
          <w:p w14:paraId="46F31065" w14:textId="77777777" w:rsidR="00B96D6A" w:rsidRPr="00B96D6A" w:rsidRDefault="00B96D6A" w:rsidP="0000112C">
            <w:pPr>
              <w:jc w:val="both"/>
              <w:rPr>
                <w:rFonts w:eastAsia="Aptos"/>
              </w:rPr>
            </w:pPr>
            <w:r w:rsidRPr="00B96D6A">
              <w:rPr>
                <w:rFonts w:eastAsia="Aptos"/>
              </w:rPr>
              <w:t>Engagement</w:t>
            </w:r>
          </w:p>
        </w:tc>
        <w:tc>
          <w:tcPr>
            <w:tcW w:w="3326" w:type="dxa"/>
            <w:hideMark/>
          </w:tcPr>
          <w:p w14:paraId="75C8CD0D" w14:textId="77777777" w:rsidR="00B96D6A" w:rsidRPr="00B96D6A" w:rsidRDefault="00B96D6A" w:rsidP="0000112C">
            <w:pPr>
              <w:jc w:val="both"/>
              <w:rPr>
                <w:rFonts w:eastAsia="Aptos"/>
              </w:rPr>
            </w:pPr>
            <w:r w:rsidRPr="00B96D6A">
              <w:rPr>
                <w:rFonts w:eastAsia="Aptos"/>
              </w:rPr>
              <w:t>Gamified activities, polls, and simulations</w:t>
            </w:r>
          </w:p>
        </w:tc>
        <w:tc>
          <w:tcPr>
            <w:tcW w:w="0" w:type="auto"/>
            <w:hideMark/>
          </w:tcPr>
          <w:p w14:paraId="336F6E2D" w14:textId="77777777" w:rsidR="00B96D6A" w:rsidRPr="00B96D6A" w:rsidRDefault="00B96D6A" w:rsidP="0000112C">
            <w:pPr>
              <w:jc w:val="both"/>
              <w:rPr>
                <w:rFonts w:eastAsia="Aptos"/>
              </w:rPr>
            </w:pPr>
            <w:r w:rsidRPr="00B96D6A">
              <w:rPr>
                <w:rFonts w:eastAsia="Aptos"/>
              </w:rPr>
              <w:t>Quizizz-based business model challenges</w:t>
            </w:r>
          </w:p>
        </w:tc>
      </w:tr>
      <w:tr w:rsidR="00B96D6A" w:rsidRPr="00B96D6A" w14:paraId="597799FA" w14:textId="77777777" w:rsidTr="00B96D6A">
        <w:tc>
          <w:tcPr>
            <w:tcW w:w="2127" w:type="dxa"/>
            <w:hideMark/>
          </w:tcPr>
          <w:p w14:paraId="0E148B8D" w14:textId="77777777" w:rsidR="00B96D6A" w:rsidRPr="00B96D6A" w:rsidRDefault="00B96D6A" w:rsidP="0000112C">
            <w:pPr>
              <w:jc w:val="both"/>
              <w:rPr>
                <w:rFonts w:eastAsia="Aptos"/>
              </w:rPr>
            </w:pPr>
            <w:r w:rsidRPr="00B96D6A">
              <w:rPr>
                <w:rFonts w:eastAsia="Aptos"/>
              </w:rPr>
              <w:t>Personalization</w:t>
            </w:r>
          </w:p>
        </w:tc>
        <w:tc>
          <w:tcPr>
            <w:tcW w:w="3326" w:type="dxa"/>
            <w:hideMark/>
          </w:tcPr>
          <w:p w14:paraId="453A4F34" w14:textId="77777777" w:rsidR="00B96D6A" w:rsidRPr="00B96D6A" w:rsidRDefault="00B96D6A" w:rsidP="0000112C">
            <w:pPr>
              <w:jc w:val="both"/>
              <w:rPr>
                <w:rFonts w:eastAsia="Aptos"/>
              </w:rPr>
            </w:pPr>
            <w:r w:rsidRPr="00B96D6A">
              <w:rPr>
                <w:rFonts w:eastAsia="Aptos"/>
              </w:rPr>
              <w:t>Adaptive learning paths for diverse learners</w:t>
            </w:r>
          </w:p>
        </w:tc>
        <w:tc>
          <w:tcPr>
            <w:tcW w:w="0" w:type="auto"/>
            <w:hideMark/>
          </w:tcPr>
          <w:p w14:paraId="68FD5375" w14:textId="77777777" w:rsidR="00B96D6A" w:rsidRPr="00B96D6A" w:rsidRDefault="00B96D6A" w:rsidP="0000112C">
            <w:pPr>
              <w:jc w:val="both"/>
              <w:rPr>
                <w:rFonts w:eastAsia="Aptos"/>
              </w:rPr>
            </w:pPr>
            <w:r w:rsidRPr="00B96D6A">
              <w:rPr>
                <w:rFonts w:eastAsia="Aptos"/>
              </w:rPr>
              <w:t>Mobile modules tailored to marketing vs. management focus</w:t>
            </w:r>
          </w:p>
        </w:tc>
      </w:tr>
      <w:tr w:rsidR="00B96D6A" w:rsidRPr="00B96D6A" w14:paraId="19A89B76" w14:textId="77777777" w:rsidTr="00B96D6A">
        <w:tc>
          <w:tcPr>
            <w:tcW w:w="2127" w:type="dxa"/>
            <w:hideMark/>
          </w:tcPr>
          <w:p w14:paraId="5C5AE9EE" w14:textId="77777777" w:rsidR="00B96D6A" w:rsidRPr="00B96D6A" w:rsidRDefault="00B96D6A" w:rsidP="00B96D6A">
            <w:pPr>
              <w:rPr>
                <w:rFonts w:eastAsia="Aptos"/>
              </w:rPr>
            </w:pPr>
            <w:r w:rsidRPr="00B96D6A">
              <w:rPr>
                <w:rFonts w:eastAsia="Aptos"/>
              </w:rPr>
              <w:t>Customer Journey → Learning Journey</w:t>
            </w:r>
          </w:p>
        </w:tc>
        <w:tc>
          <w:tcPr>
            <w:tcW w:w="3326" w:type="dxa"/>
            <w:hideMark/>
          </w:tcPr>
          <w:p w14:paraId="26CD2EB2" w14:textId="77777777" w:rsidR="00B96D6A" w:rsidRPr="00B96D6A" w:rsidRDefault="00B96D6A" w:rsidP="0000112C">
            <w:pPr>
              <w:jc w:val="both"/>
              <w:rPr>
                <w:rFonts w:eastAsia="Aptos"/>
              </w:rPr>
            </w:pPr>
            <w:r w:rsidRPr="00B96D6A">
              <w:rPr>
                <w:rFonts w:eastAsia="Aptos"/>
              </w:rPr>
              <w:t>Scaffolded progression from orientation to application</w:t>
            </w:r>
          </w:p>
        </w:tc>
        <w:tc>
          <w:tcPr>
            <w:tcW w:w="0" w:type="auto"/>
            <w:hideMark/>
          </w:tcPr>
          <w:p w14:paraId="28853756" w14:textId="77777777" w:rsidR="00B96D6A" w:rsidRPr="00B96D6A" w:rsidRDefault="00B96D6A" w:rsidP="0000112C">
            <w:pPr>
              <w:jc w:val="both"/>
              <w:rPr>
                <w:rFonts w:eastAsia="Aptos"/>
              </w:rPr>
            </w:pPr>
            <w:r w:rsidRPr="00B96D6A">
              <w:rPr>
                <w:rFonts w:eastAsia="Aptos"/>
              </w:rPr>
              <w:t>Modules structured from basic theory to live projects</w:t>
            </w:r>
          </w:p>
        </w:tc>
      </w:tr>
      <w:tr w:rsidR="00B96D6A" w:rsidRPr="00B96D6A" w14:paraId="16448BC2" w14:textId="77777777" w:rsidTr="00B96D6A">
        <w:tc>
          <w:tcPr>
            <w:tcW w:w="2127" w:type="dxa"/>
            <w:hideMark/>
          </w:tcPr>
          <w:p w14:paraId="7460C0B3" w14:textId="77777777" w:rsidR="00B96D6A" w:rsidRPr="00B96D6A" w:rsidRDefault="00B96D6A" w:rsidP="00B96D6A">
            <w:pPr>
              <w:rPr>
                <w:rFonts w:eastAsia="Aptos"/>
              </w:rPr>
            </w:pPr>
            <w:r w:rsidRPr="00B96D6A">
              <w:rPr>
                <w:rFonts w:eastAsia="Aptos"/>
              </w:rPr>
              <w:t>Branding &amp; Experience Design</w:t>
            </w:r>
          </w:p>
        </w:tc>
        <w:tc>
          <w:tcPr>
            <w:tcW w:w="3326" w:type="dxa"/>
            <w:hideMark/>
          </w:tcPr>
          <w:p w14:paraId="3ECD9421" w14:textId="77777777" w:rsidR="00B96D6A" w:rsidRPr="00B96D6A" w:rsidRDefault="00B96D6A" w:rsidP="0000112C">
            <w:pPr>
              <w:jc w:val="both"/>
              <w:rPr>
                <w:rFonts w:eastAsia="Aptos"/>
              </w:rPr>
            </w:pPr>
            <w:r w:rsidRPr="00B96D6A">
              <w:rPr>
                <w:rFonts w:eastAsia="Aptos"/>
              </w:rPr>
              <w:t>Creating memorable learning interactions</w:t>
            </w:r>
          </w:p>
        </w:tc>
        <w:tc>
          <w:tcPr>
            <w:tcW w:w="0" w:type="auto"/>
            <w:hideMark/>
          </w:tcPr>
          <w:p w14:paraId="6FB88EA0" w14:textId="77777777" w:rsidR="00B96D6A" w:rsidRPr="00B96D6A" w:rsidRDefault="00B96D6A" w:rsidP="0000112C">
            <w:pPr>
              <w:jc w:val="both"/>
              <w:rPr>
                <w:rFonts w:eastAsia="Aptos"/>
              </w:rPr>
            </w:pPr>
            <w:r w:rsidRPr="00B96D6A">
              <w:rPr>
                <w:rFonts w:eastAsia="Aptos"/>
              </w:rPr>
              <w:t>Business simulation games designed as “market challenges”</w:t>
            </w:r>
          </w:p>
        </w:tc>
      </w:tr>
    </w:tbl>
    <w:p w14:paraId="16CABA34" w14:textId="77777777" w:rsidR="00B96D6A" w:rsidRPr="009C1ED2" w:rsidRDefault="00B96D6A" w:rsidP="009C1ED2">
      <w:pPr>
        <w:tabs>
          <w:tab w:val="left" w:pos="426"/>
        </w:tabs>
        <w:ind w:left="426"/>
        <w:rPr>
          <w:bCs/>
        </w:rPr>
      </w:pPr>
    </w:p>
    <w:p w14:paraId="1881F686" w14:textId="0F88AA13" w:rsidR="00AA3EC0" w:rsidRDefault="00B96D6A" w:rsidP="00B96D6A">
      <w:pPr>
        <w:tabs>
          <w:tab w:val="left" w:pos="426"/>
        </w:tabs>
        <w:jc w:val="both"/>
      </w:pPr>
      <w:r>
        <w:tab/>
      </w:r>
      <w:r w:rsidRPr="00B96D6A">
        <w:t xml:space="preserve">This framework shows that mobile learning marketing is not superficial promotion of education; rather, it positions </w:t>
      </w:r>
      <w:r w:rsidRPr="00B96D6A">
        <w:rPr>
          <w:bCs/>
        </w:rPr>
        <w:t>learning</w:t>
      </w:r>
      <w:r w:rsidRPr="00B96D6A">
        <w:t xml:space="preserve"> as an experience economy, where value is generated through meaningful interaction between educators and students.</w:t>
      </w:r>
    </w:p>
    <w:p w14:paraId="7FE516CE" w14:textId="77777777" w:rsidR="00B96D6A" w:rsidRDefault="00B96D6A" w:rsidP="00B96D6A">
      <w:pPr>
        <w:tabs>
          <w:tab w:val="left" w:pos="426"/>
        </w:tabs>
        <w:jc w:val="both"/>
      </w:pPr>
    </w:p>
    <w:p w14:paraId="70AAF79B" w14:textId="0509D30D" w:rsidR="00B96D6A" w:rsidRDefault="00B96D6A" w:rsidP="00B96D6A">
      <w:pPr>
        <w:pStyle w:val="ListParagraph"/>
        <w:numPr>
          <w:ilvl w:val="0"/>
          <w:numId w:val="8"/>
        </w:numPr>
        <w:tabs>
          <w:tab w:val="left" w:pos="426"/>
        </w:tabs>
        <w:spacing w:after="0"/>
        <w:ind w:left="426"/>
        <w:rPr>
          <w:rFonts w:ascii="Times New Roman" w:hAnsi="Times New Roman"/>
          <w:i/>
          <w:iCs/>
          <w:sz w:val="20"/>
          <w:szCs w:val="20"/>
        </w:rPr>
      </w:pPr>
      <w:r w:rsidRPr="00B96D6A">
        <w:rPr>
          <w:rFonts w:ascii="Times New Roman" w:hAnsi="Times New Roman"/>
          <w:bCs/>
          <w:i/>
          <w:iCs/>
          <w:sz w:val="20"/>
          <w:szCs w:val="20"/>
        </w:rPr>
        <w:t>Benefits</w:t>
      </w:r>
      <w:r w:rsidRPr="00B96D6A">
        <w:rPr>
          <w:rFonts w:ascii="Times New Roman" w:hAnsi="Times New Roman"/>
          <w:i/>
          <w:iCs/>
          <w:sz w:val="20"/>
          <w:szCs w:val="20"/>
        </w:rPr>
        <w:t xml:space="preserve"> and Challenges of Implementation</w:t>
      </w:r>
    </w:p>
    <w:p w14:paraId="1E6E27B5" w14:textId="739FFE07" w:rsidR="009837DB" w:rsidRPr="009837DB" w:rsidRDefault="009837DB" w:rsidP="009837DB">
      <w:pPr>
        <w:tabs>
          <w:tab w:val="left" w:pos="426"/>
        </w:tabs>
        <w:jc w:val="both"/>
      </w:pPr>
      <w:r>
        <w:rPr>
          <w:i/>
          <w:iCs/>
        </w:rPr>
        <w:tab/>
      </w:r>
      <w:r w:rsidRPr="009837DB">
        <w:t>The second research question asked: What are the benefits and challenges of integrating mobile learning marketing in business education?</w:t>
      </w:r>
    </w:p>
    <w:p w14:paraId="4F8FEA65" w14:textId="77777777" w:rsidR="009837DB" w:rsidRDefault="009837DB" w:rsidP="009837DB">
      <w:pPr>
        <w:tabs>
          <w:tab w:val="left" w:pos="426"/>
        </w:tabs>
        <w:rPr>
          <w:i/>
          <w:iCs/>
        </w:rPr>
      </w:pPr>
    </w:p>
    <w:p w14:paraId="02F5FCBC" w14:textId="2ECB7D3A" w:rsidR="009837DB" w:rsidRPr="009837DB" w:rsidRDefault="009837DB" w:rsidP="009837DB">
      <w:pPr>
        <w:tabs>
          <w:tab w:val="left" w:pos="426"/>
        </w:tabs>
        <w:rPr>
          <w:i/>
          <w:iCs/>
        </w:rPr>
      </w:pPr>
      <w:r w:rsidRPr="009837DB">
        <w:rPr>
          <w:i/>
          <w:iCs/>
        </w:rPr>
        <w:t>Benefits</w:t>
      </w:r>
    </w:p>
    <w:p w14:paraId="158C2550" w14:textId="77777777" w:rsidR="009837DB" w:rsidRDefault="009837DB" w:rsidP="009837DB">
      <w:pPr>
        <w:pStyle w:val="ListParagraph"/>
        <w:numPr>
          <w:ilvl w:val="0"/>
          <w:numId w:val="13"/>
        </w:numPr>
        <w:tabs>
          <w:tab w:val="left" w:pos="426"/>
        </w:tabs>
        <w:ind w:left="426"/>
        <w:jc w:val="both"/>
        <w:rPr>
          <w:rFonts w:ascii="Times New Roman" w:hAnsi="Times New Roman"/>
        </w:rPr>
      </w:pPr>
      <w:r w:rsidRPr="009837DB">
        <w:rPr>
          <w:rFonts w:ascii="Times New Roman" w:hAnsi="Times New Roman"/>
        </w:rPr>
        <w:t>Flexibility and Accessibility – Mobile devices extend learning beyond classroom walls, enabling students to access resources anytime (Crompton &amp; Burke, 2018). This is particularly beneficial for Introduction to Business, where concepts evolve rapidly alongside global market changes.</w:t>
      </w:r>
    </w:p>
    <w:p w14:paraId="401A3BB3" w14:textId="77777777" w:rsidR="009837DB" w:rsidRPr="009837DB" w:rsidRDefault="009837DB" w:rsidP="009837DB">
      <w:pPr>
        <w:pStyle w:val="ListParagraph"/>
        <w:numPr>
          <w:ilvl w:val="0"/>
          <w:numId w:val="13"/>
        </w:numPr>
        <w:tabs>
          <w:tab w:val="left" w:pos="426"/>
        </w:tabs>
        <w:ind w:left="426"/>
        <w:jc w:val="both"/>
        <w:rPr>
          <w:rFonts w:ascii="Times New Roman" w:hAnsi="Times New Roman"/>
        </w:rPr>
      </w:pPr>
      <w:r w:rsidRPr="009837DB">
        <w:rPr>
          <w:rFonts w:ascii="Times New Roman" w:hAnsi="Times New Roman"/>
        </w:rPr>
        <w:t>Heightened Engagement – Gamification, push notifications, and social learning features stimulate interest and participation, moving students from passive listeners to active contributors (Deterding et al., 2011).</w:t>
      </w:r>
    </w:p>
    <w:p w14:paraId="6ADD0CC5" w14:textId="77777777" w:rsidR="009837DB" w:rsidRPr="009837DB" w:rsidRDefault="009837DB" w:rsidP="009837DB">
      <w:pPr>
        <w:pStyle w:val="ListParagraph"/>
        <w:numPr>
          <w:ilvl w:val="0"/>
          <w:numId w:val="13"/>
        </w:numPr>
        <w:tabs>
          <w:tab w:val="left" w:pos="426"/>
        </w:tabs>
        <w:ind w:left="426"/>
        <w:jc w:val="both"/>
        <w:rPr>
          <w:rFonts w:ascii="Times New Roman" w:hAnsi="Times New Roman"/>
        </w:rPr>
      </w:pPr>
      <w:r w:rsidRPr="009837DB">
        <w:rPr>
          <w:rFonts w:ascii="Times New Roman" w:hAnsi="Times New Roman"/>
        </w:rPr>
        <w:t>Authenticity and Real-World Relevance – Simulated business environments and digital marketing projects provide authentic contexts, bridging the gap between theory and practice (Traxler, 2018).</w:t>
      </w:r>
    </w:p>
    <w:p w14:paraId="70343EDB" w14:textId="718A8A00" w:rsidR="009837DB" w:rsidRPr="009837DB" w:rsidRDefault="009837DB" w:rsidP="009837DB">
      <w:pPr>
        <w:pStyle w:val="ListParagraph"/>
        <w:numPr>
          <w:ilvl w:val="0"/>
          <w:numId w:val="13"/>
        </w:numPr>
        <w:tabs>
          <w:tab w:val="left" w:pos="426"/>
        </w:tabs>
        <w:ind w:left="426"/>
        <w:jc w:val="both"/>
        <w:rPr>
          <w:rFonts w:ascii="Times New Roman" w:hAnsi="Times New Roman"/>
        </w:rPr>
      </w:pPr>
      <w:r w:rsidRPr="009837DB">
        <w:rPr>
          <w:rFonts w:ascii="Times New Roman" w:hAnsi="Times New Roman"/>
        </w:rPr>
        <w:t>Collaboration and Co-Creation – Mobile platforms facilitate group work, discussions, and peer feedback, reflecting teamwork and co-creation in real-world businesses (Brodie et al., 2011).</w:t>
      </w:r>
    </w:p>
    <w:p w14:paraId="1F5C47CE" w14:textId="503EB21E" w:rsidR="009837DB" w:rsidRPr="009837DB" w:rsidRDefault="009837DB" w:rsidP="009837DB">
      <w:pPr>
        <w:tabs>
          <w:tab w:val="left" w:pos="426"/>
        </w:tabs>
        <w:rPr>
          <w:i/>
          <w:iCs/>
        </w:rPr>
      </w:pPr>
      <w:r w:rsidRPr="009837DB">
        <w:rPr>
          <w:i/>
          <w:iCs/>
        </w:rPr>
        <w:t>Challenges</w:t>
      </w:r>
    </w:p>
    <w:p w14:paraId="0FA50807" w14:textId="77777777" w:rsidR="009837DB" w:rsidRPr="009837DB" w:rsidRDefault="009837DB" w:rsidP="009837DB">
      <w:pPr>
        <w:pStyle w:val="ListParagraph"/>
        <w:numPr>
          <w:ilvl w:val="0"/>
          <w:numId w:val="14"/>
        </w:numPr>
        <w:tabs>
          <w:tab w:val="left" w:pos="426"/>
        </w:tabs>
        <w:ind w:left="426"/>
        <w:jc w:val="both"/>
        <w:rPr>
          <w:rFonts w:ascii="Times New Roman" w:hAnsi="Times New Roman"/>
        </w:rPr>
      </w:pPr>
      <w:r w:rsidRPr="009837DB">
        <w:rPr>
          <w:rFonts w:ascii="Times New Roman" w:hAnsi="Times New Roman"/>
        </w:rPr>
        <w:t>Digital Divide – Unequal access to smartphones and stable internet connectivity risks reinforcing inequality among students (Traxler, 2018).</w:t>
      </w:r>
    </w:p>
    <w:p w14:paraId="08A6E792" w14:textId="77777777" w:rsidR="009837DB" w:rsidRPr="009837DB" w:rsidRDefault="009837DB" w:rsidP="009837DB">
      <w:pPr>
        <w:pStyle w:val="ListParagraph"/>
        <w:numPr>
          <w:ilvl w:val="0"/>
          <w:numId w:val="14"/>
        </w:numPr>
        <w:tabs>
          <w:tab w:val="left" w:pos="426"/>
        </w:tabs>
        <w:ind w:left="426"/>
        <w:jc w:val="both"/>
        <w:rPr>
          <w:rFonts w:ascii="Times New Roman" w:hAnsi="Times New Roman"/>
        </w:rPr>
      </w:pPr>
      <w:r w:rsidRPr="009837DB">
        <w:rPr>
          <w:rFonts w:ascii="Times New Roman" w:hAnsi="Times New Roman"/>
        </w:rPr>
        <w:t>Faculty Preparedness – Many lecturers struggle with redesigning curricula for mobile-first platforms, lacking the necessary digital literacy (Kearney et al., 2012).</w:t>
      </w:r>
    </w:p>
    <w:p w14:paraId="270C0354" w14:textId="77777777" w:rsidR="009837DB" w:rsidRPr="009837DB" w:rsidRDefault="009837DB" w:rsidP="009837DB">
      <w:pPr>
        <w:pStyle w:val="ListParagraph"/>
        <w:numPr>
          <w:ilvl w:val="0"/>
          <w:numId w:val="14"/>
        </w:numPr>
        <w:tabs>
          <w:tab w:val="left" w:pos="426"/>
        </w:tabs>
        <w:ind w:left="426"/>
        <w:jc w:val="both"/>
        <w:rPr>
          <w:rFonts w:ascii="Times New Roman" w:hAnsi="Times New Roman"/>
        </w:rPr>
      </w:pPr>
      <w:r w:rsidRPr="009837DB">
        <w:rPr>
          <w:rFonts w:ascii="Times New Roman" w:hAnsi="Times New Roman"/>
        </w:rPr>
        <w:t>Cognitive Load – Without careful instructional design, mobile learning can overwhelm students due to small screens and multitasking (Mayer, 2009).</w:t>
      </w:r>
    </w:p>
    <w:p w14:paraId="7404D933" w14:textId="77777777" w:rsidR="009837DB" w:rsidRDefault="009837DB" w:rsidP="009837DB">
      <w:pPr>
        <w:pStyle w:val="ListParagraph"/>
        <w:numPr>
          <w:ilvl w:val="0"/>
          <w:numId w:val="14"/>
        </w:numPr>
        <w:tabs>
          <w:tab w:val="left" w:pos="426"/>
        </w:tabs>
        <w:ind w:left="426"/>
        <w:jc w:val="both"/>
        <w:rPr>
          <w:rFonts w:ascii="Times New Roman" w:hAnsi="Times New Roman"/>
        </w:rPr>
      </w:pPr>
      <w:r w:rsidRPr="009837DB">
        <w:rPr>
          <w:rFonts w:ascii="Times New Roman" w:hAnsi="Times New Roman"/>
        </w:rPr>
        <w:t>Assessment Integrity – Mobile platforms often lack robust systems for evaluating higher-order skills and ensuring academic honesty</w:t>
      </w:r>
      <w:r>
        <w:rPr>
          <w:rFonts w:ascii="Times New Roman" w:hAnsi="Times New Roman"/>
        </w:rPr>
        <w:t>.</w:t>
      </w:r>
    </w:p>
    <w:p w14:paraId="15236B30" w14:textId="77777777" w:rsidR="009837DB" w:rsidRDefault="009837DB" w:rsidP="009837DB">
      <w:pPr>
        <w:pStyle w:val="ListParagraph"/>
        <w:tabs>
          <w:tab w:val="left" w:pos="426"/>
        </w:tabs>
        <w:ind w:left="426"/>
        <w:jc w:val="both"/>
        <w:rPr>
          <w:rFonts w:ascii="Times New Roman" w:hAnsi="Times New Roman"/>
        </w:rPr>
      </w:pPr>
    </w:p>
    <w:p w14:paraId="22C0BD76" w14:textId="790D7A8D" w:rsidR="009837DB" w:rsidRPr="009837DB" w:rsidRDefault="009837DB" w:rsidP="009837DB">
      <w:pPr>
        <w:pStyle w:val="ListParagraph"/>
        <w:numPr>
          <w:ilvl w:val="0"/>
          <w:numId w:val="8"/>
        </w:numPr>
        <w:tabs>
          <w:tab w:val="left" w:pos="426"/>
        </w:tabs>
        <w:spacing w:after="0"/>
        <w:ind w:left="426"/>
        <w:rPr>
          <w:rFonts w:ascii="Times New Roman" w:hAnsi="Times New Roman"/>
        </w:rPr>
      </w:pPr>
      <w:r w:rsidRPr="009837DB">
        <w:rPr>
          <w:rFonts w:ascii="Times New Roman" w:hAnsi="Times New Roman"/>
          <w:bCs/>
          <w:i/>
          <w:iCs/>
        </w:rPr>
        <w:t>Impact</w:t>
      </w:r>
      <w:r w:rsidRPr="009837DB">
        <w:rPr>
          <w:rFonts w:ascii="Times New Roman" w:hAnsi="Times New Roman"/>
          <w:i/>
          <w:iCs/>
        </w:rPr>
        <w:t xml:space="preserve"> on Student Engagement and Learning Outcomes</w:t>
      </w:r>
    </w:p>
    <w:p w14:paraId="57312964" w14:textId="280837E0" w:rsidR="009837DB" w:rsidRPr="009837DB" w:rsidRDefault="009837DB" w:rsidP="009837DB">
      <w:pPr>
        <w:tabs>
          <w:tab w:val="left" w:pos="426"/>
        </w:tabs>
        <w:jc w:val="both"/>
        <w:rPr>
          <w:sz w:val="22"/>
          <w:szCs w:val="22"/>
        </w:rPr>
      </w:pPr>
      <w:r>
        <w:rPr>
          <w:i/>
          <w:iCs/>
        </w:rPr>
        <w:tab/>
      </w:r>
      <w:r w:rsidRPr="009837DB">
        <w:rPr>
          <w:sz w:val="22"/>
          <w:szCs w:val="22"/>
        </w:rPr>
        <w:t>The third research question considered the influence of mobile learning marketing on engagement and outcomes. Findings show that when applied effectively, mobile learning marketing:</w:t>
      </w:r>
    </w:p>
    <w:p w14:paraId="4A1584F0" w14:textId="77777777" w:rsidR="009837DB" w:rsidRPr="009837DB" w:rsidRDefault="009837DB" w:rsidP="009837DB">
      <w:pPr>
        <w:pStyle w:val="ListParagraph"/>
        <w:numPr>
          <w:ilvl w:val="0"/>
          <w:numId w:val="15"/>
        </w:numPr>
        <w:tabs>
          <w:tab w:val="left" w:pos="426"/>
        </w:tabs>
        <w:ind w:left="426"/>
        <w:rPr>
          <w:rFonts w:ascii="Times New Roman" w:hAnsi="Times New Roman"/>
        </w:rPr>
      </w:pPr>
      <w:r w:rsidRPr="009837DB">
        <w:rPr>
          <w:rFonts w:ascii="Times New Roman" w:hAnsi="Times New Roman"/>
        </w:rPr>
        <w:t>Enhances intrinsic motivation by satisfying autonomy, competence, and relatedness needs (Deci &amp; Ryan, 2000).</w:t>
      </w:r>
    </w:p>
    <w:p w14:paraId="0A24039B" w14:textId="77777777" w:rsidR="009837DB" w:rsidRPr="009837DB" w:rsidRDefault="009837DB" w:rsidP="009837DB">
      <w:pPr>
        <w:pStyle w:val="ListParagraph"/>
        <w:numPr>
          <w:ilvl w:val="0"/>
          <w:numId w:val="15"/>
        </w:numPr>
        <w:tabs>
          <w:tab w:val="left" w:pos="426"/>
        </w:tabs>
        <w:ind w:left="426"/>
        <w:rPr>
          <w:rFonts w:ascii="Times New Roman" w:hAnsi="Times New Roman"/>
        </w:rPr>
      </w:pPr>
      <w:r w:rsidRPr="009837DB">
        <w:rPr>
          <w:rFonts w:ascii="Times New Roman" w:hAnsi="Times New Roman"/>
        </w:rPr>
        <w:t>Increases retention and comprehension, as students are exposed to interactive case studies and practical exercises.</w:t>
      </w:r>
    </w:p>
    <w:p w14:paraId="65201DBA" w14:textId="48A20198" w:rsidR="009837DB" w:rsidRPr="009837DB" w:rsidRDefault="009837DB" w:rsidP="009837DB">
      <w:pPr>
        <w:pStyle w:val="ListParagraph"/>
        <w:numPr>
          <w:ilvl w:val="0"/>
          <w:numId w:val="15"/>
        </w:numPr>
        <w:tabs>
          <w:tab w:val="left" w:pos="426"/>
        </w:tabs>
        <w:ind w:left="426"/>
        <w:rPr>
          <w:rFonts w:ascii="Times New Roman" w:hAnsi="Times New Roman"/>
        </w:rPr>
      </w:pPr>
      <w:r w:rsidRPr="009837DB">
        <w:rPr>
          <w:rFonts w:ascii="Times New Roman" w:hAnsi="Times New Roman"/>
        </w:rPr>
        <w:t>Develops entrepreneurial and digital skills, aligning learning outcomes with the competencies demanded in the global business environment.</w:t>
      </w:r>
    </w:p>
    <w:p w14:paraId="1C21597D" w14:textId="23AE18AD" w:rsidR="009837DB" w:rsidRDefault="007867CB" w:rsidP="009837DB">
      <w:pPr>
        <w:tabs>
          <w:tab w:val="left" w:pos="426"/>
        </w:tabs>
        <w:jc w:val="both"/>
        <w:rPr>
          <w:sz w:val="22"/>
          <w:szCs w:val="22"/>
        </w:rPr>
      </w:pPr>
      <w:r>
        <w:rPr>
          <w:sz w:val="22"/>
          <w:szCs w:val="22"/>
        </w:rPr>
        <w:tab/>
      </w:r>
      <w:r w:rsidR="009837DB" w:rsidRPr="009837DB">
        <w:rPr>
          <w:sz w:val="22"/>
          <w:szCs w:val="22"/>
        </w:rPr>
        <w:t>For example, mobile-based marketing simulations where students design campaigns for hypothetical products not only teach core business concepts but also encourage creativity and strategic thinking. Evidence from prior studies (Sung et al., 2016; Hsu &amp; Ching, 2015) confirms that such approaches improve both academic performance and professional readiness.</w:t>
      </w:r>
    </w:p>
    <w:p w14:paraId="25453779" w14:textId="77777777" w:rsidR="007867CB" w:rsidRDefault="007867CB" w:rsidP="009837DB">
      <w:pPr>
        <w:tabs>
          <w:tab w:val="left" w:pos="426"/>
        </w:tabs>
        <w:jc w:val="both"/>
        <w:rPr>
          <w:sz w:val="22"/>
          <w:szCs w:val="22"/>
        </w:rPr>
      </w:pPr>
    </w:p>
    <w:p w14:paraId="7B542C2F" w14:textId="066A0D97" w:rsidR="007867CB" w:rsidRPr="007867CB" w:rsidRDefault="007867CB" w:rsidP="007867CB">
      <w:pPr>
        <w:pStyle w:val="ListParagraph"/>
        <w:numPr>
          <w:ilvl w:val="0"/>
          <w:numId w:val="8"/>
        </w:numPr>
        <w:tabs>
          <w:tab w:val="left" w:pos="426"/>
        </w:tabs>
        <w:spacing w:after="0"/>
        <w:ind w:left="426"/>
        <w:rPr>
          <w:rFonts w:ascii="Times New Roman" w:hAnsi="Times New Roman"/>
          <w:i/>
          <w:iCs/>
        </w:rPr>
      </w:pPr>
      <w:r w:rsidRPr="007867CB">
        <w:rPr>
          <w:rFonts w:ascii="Times New Roman" w:hAnsi="Times New Roman"/>
          <w:i/>
          <w:iCs/>
        </w:rPr>
        <w:t>Significance of Findings</w:t>
      </w:r>
    </w:p>
    <w:p w14:paraId="672FF165" w14:textId="77777777" w:rsidR="007867CB" w:rsidRPr="007867CB" w:rsidRDefault="007867CB" w:rsidP="007867CB">
      <w:pPr>
        <w:tabs>
          <w:tab w:val="left" w:pos="426"/>
        </w:tabs>
        <w:jc w:val="both"/>
        <w:rPr>
          <w:sz w:val="22"/>
          <w:szCs w:val="22"/>
        </w:rPr>
      </w:pPr>
      <w:r w:rsidRPr="007867CB">
        <w:rPr>
          <w:sz w:val="22"/>
          <w:szCs w:val="22"/>
        </w:rPr>
        <w:t>The findings hold important implications:</w:t>
      </w:r>
    </w:p>
    <w:p w14:paraId="7C3C8E3B" w14:textId="77777777" w:rsidR="007867CB" w:rsidRPr="007867CB" w:rsidRDefault="007867CB" w:rsidP="007867CB">
      <w:pPr>
        <w:pStyle w:val="ListParagraph"/>
        <w:numPr>
          <w:ilvl w:val="3"/>
          <w:numId w:val="16"/>
        </w:numPr>
        <w:tabs>
          <w:tab w:val="left" w:pos="426"/>
        </w:tabs>
        <w:ind w:left="360"/>
        <w:jc w:val="both"/>
        <w:rPr>
          <w:rFonts w:ascii="Times New Roman" w:hAnsi="Times New Roman"/>
        </w:rPr>
      </w:pPr>
      <w:r w:rsidRPr="007867CB">
        <w:rPr>
          <w:rFonts w:ascii="Times New Roman" w:hAnsi="Times New Roman"/>
        </w:rPr>
        <w:t>For pedagogy, they demonstrate that aligning education with marketing principles fosters more engaging and effective learning experiences.</w:t>
      </w:r>
    </w:p>
    <w:p w14:paraId="2B9F73C6" w14:textId="77777777" w:rsidR="007867CB" w:rsidRPr="007867CB" w:rsidRDefault="007867CB" w:rsidP="007867CB">
      <w:pPr>
        <w:pStyle w:val="ListParagraph"/>
        <w:numPr>
          <w:ilvl w:val="3"/>
          <w:numId w:val="16"/>
        </w:numPr>
        <w:tabs>
          <w:tab w:val="left" w:pos="426"/>
        </w:tabs>
        <w:ind w:left="360"/>
        <w:jc w:val="both"/>
        <w:rPr>
          <w:rFonts w:ascii="Times New Roman" w:hAnsi="Times New Roman"/>
        </w:rPr>
      </w:pPr>
      <w:r w:rsidRPr="007867CB">
        <w:rPr>
          <w:rFonts w:ascii="Times New Roman" w:hAnsi="Times New Roman"/>
        </w:rPr>
        <w:t>For policy, they highlight the need for institutional support in infrastructure, training, and inclusivity.</w:t>
      </w:r>
    </w:p>
    <w:p w14:paraId="5E8CC6AB" w14:textId="7F16E015" w:rsidR="007867CB" w:rsidRPr="007867CB" w:rsidRDefault="007867CB" w:rsidP="007867CB">
      <w:pPr>
        <w:pStyle w:val="ListParagraph"/>
        <w:numPr>
          <w:ilvl w:val="3"/>
          <w:numId w:val="16"/>
        </w:numPr>
        <w:tabs>
          <w:tab w:val="left" w:pos="426"/>
        </w:tabs>
        <w:ind w:left="360"/>
        <w:jc w:val="both"/>
        <w:rPr>
          <w:rFonts w:ascii="Times New Roman" w:hAnsi="Times New Roman"/>
        </w:rPr>
      </w:pPr>
      <w:r w:rsidRPr="007867CB">
        <w:rPr>
          <w:rFonts w:ascii="Times New Roman" w:hAnsi="Times New Roman"/>
        </w:rPr>
        <w:t>For practice, they suggest that mobile learning marketing can act as a bridge between academic curricula and industry realities, particularly in preparing students for digitally driven markets.</w:t>
      </w:r>
    </w:p>
    <w:p w14:paraId="7440062D" w14:textId="087B44C1" w:rsidR="007867CB" w:rsidRPr="009837DB" w:rsidRDefault="007867CB" w:rsidP="007867CB">
      <w:pPr>
        <w:tabs>
          <w:tab w:val="left" w:pos="426"/>
        </w:tabs>
        <w:jc w:val="both"/>
        <w:rPr>
          <w:sz w:val="22"/>
          <w:szCs w:val="22"/>
        </w:rPr>
      </w:pPr>
      <w:r>
        <w:rPr>
          <w:sz w:val="22"/>
          <w:szCs w:val="22"/>
        </w:rPr>
        <w:lastRenderedPageBreak/>
        <w:tab/>
      </w:r>
      <w:r>
        <w:rPr>
          <w:sz w:val="22"/>
          <w:szCs w:val="22"/>
        </w:rPr>
        <w:tab/>
      </w:r>
      <w:r w:rsidRPr="007867CB">
        <w:rPr>
          <w:sz w:val="22"/>
          <w:szCs w:val="22"/>
        </w:rPr>
        <w:t>From the perspective of the author, the most compelling insight is that education today cannot afford to ignore the logics of engagement that dominate the business world. Students, much like consumers, are influenced by design, accessibility, and relevance. If higher education insists on purely traditional methods, it risks alienating learners who are accustomed to interactive, on-demand experiences.</w:t>
      </w:r>
      <w:r>
        <w:rPr>
          <w:sz w:val="22"/>
          <w:szCs w:val="22"/>
        </w:rPr>
        <w:t xml:space="preserve"> </w:t>
      </w:r>
      <w:r w:rsidRPr="007867CB">
        <w:rPr>
          <w:sz w:val="22"/>
          <w:szCs w:val="22"/>
        </w:rPr>
        <w:t>At the same time, I believe it would be a mistake to reduce learning to mere entertainment or marketing gimmicks. The challenge lies in balancing pedagogical rigor with innovative delivery. Mobile learning marketing is valuable only if it genuinely supports critical thinking, creativity, and ethical business understanding. Otherwise, it risks producing students who are engaged but not deeply educated.</w:t>
      </w:r>
      <w:r>
        <w:rPr>
          <w:sz w:val="22"/>
          <w:szCs w:val="22"/>
        </w:rPr>
        <w:t xml:space="preserve"> </w:t>
      </w:r>
      <w:r w:rsidRPr="007867CB">
        <w:rPr>
          <w:sz w:val="22"/>
          <w:szCs w:val="22"/>
        </w:rPr>
        <w:t>Personally, I see mobile learning marketing as a transformative opportunity for Introduction to Business. This course lays the foundation for students’ understanding of entrepreneurship, management, and marketing. By embedding marketing-inspired mobile strategies, we can teach not only the content of business but also model the methods of modern business practice. In this sense, the learning environment itself becomes a living case study of how businesses operate in the digital economy</w:t>
      </w:r>
    </w:p>
    <w:p w14:paraId="7639EC1F" w14:textId="77777777" w:rsidR="007867CB" w:rsidRDefault="007867CB" w:rsidP="009837DB">
      <w:pPr>
        <w:tabs>
          <w:tab w:val="left" w:pos="426"/>
        </w:tabs>
        <w:jc w:val="both"/>
        <w:rPr>
          <w:sz w:val="22"/>
          <w:szCs w:val="22"/>
        </w:rPr>
      </w:pPr>
    </w:p>
    <w:p w14:paraId="4CDB203C" w14:textId="77777777" w:rsidR="00AA3EC0" w:rsidRDefault="00AA3EC0"/>
    <w:p w14:paraId="312E5CEB" w14:textId="563BA4E9" w:rsidR="00AA3EC0" w:rsidRPr="007867CB" w:rsidRDefault="00000000" w:rsidP="007867CB">
      <w:pPr>
        <w:numPr>
          <w:ilvl w:val="0"/>
          <w:numId w:val="1"/>
        </w:numPr>
        <w:tabs>
          <w:tab w:val="left" w:pos="426"/>
        </w:tabs>
        <w:ind w:left="426" w:hanging="426"/>
        <w:rPr>
          <w:b/>
        </w:rPr>
      </w:pPr>
      <w:r>
        <w:rPr>
          <w:b/>
        </w:rPr>
        <w:t xml:space="preserve">CONCLUSION </w:t>
      </w:r>
    </w:p>
    <w:p w14:paraId="681EE663" w14:textId="3E07A5EB" w:rsidR="007867CB" w:rsidRPr="007867CB" w:rsidRDefault="007867CB">
      <w:pPr>
        <w:ind w:firstLine="720"/>
        <w:jc w:val="both"/>
        <w:rPr>
          <w:bCs/>
          <w:iCs/>
        </w:rPr>
      </w:pPr>
      <w:r w:rsidRPr="007867CB">
        <w:rPr>
          <w:bCs/>
          <w:iCs/>
        </w:rPr>
        <w:t xml:space="preserve">This study has explored the implementation of mobile learning marketing in teaching Introduction to Business in higher education. Drawing from pedagogical theories, marketing frameworks, and empirical studies, the analysis demonstrates that mobile learning marketing is not merely a technological innovation but a pedagogical transformation that repositions learning as a value co-creation process between students and educators. The findings highlight several key points: The role of mobile learning marketing lies in combining marketing principles (value proposition, engagement, personalization, and learner journeys) with pedagogical design models (TPACK, SAMR, </w:t>
      </w:r>
      <w:proofErr w:type="spellStart"/>
      <w:r w:rsidRPr="007867CB">
        <w:rPr>
          <w:bCs/>
          <w:iCs/>
        </w:rPr>
        <w:t>CoI</w:t>
      </w:r>
      <w:proofErr w:type="spellEnd"/>
      <w:r w:rsidRPr="007867CB">
        <w:rPr>
          <w:bCs/>
          <w:iCs/>
        </w:rPr>
        <w:t>) and adoption theories (TAM, UTAUT). This integration creates student-centered, flexible, and authentic learning environments. Benefits include greater accessibility, increased engagement, stronger links between theory and practice, and improved collaboration. At the same time, challenges persist, such as unequal access to technology, limited faculty readiness, cognitive overload risks, and assessment integrity concerns. Impact on student engagement and learning outcomes is significant. Mobile learning marketing promotes intrinsic motivation, enhances retention and comprehension, and develops entrepreneurial and digital competencies essential for future business leaders. Overall, the study concludes that mobile learning marketing provides a promising pathway for higher education institutions to modernize business education, making it more relevant to the demands of a digital economy. However, it requires careful implementation to ensure inclusivity, pedagogical rigor, and alignment with institutional goals. From the perspective of the author, mobile learning marketing represents both an opportunity and a challenge. On one hand, it offers a way to make business education dynamic, relevant, and aligned with the realities of the digital economy. On the other hand, it demands critical vigilance: ensuring that educational integrity is not sacrificed to technological novelty or marketing appeal. Ultimately, the success of mobile learning marketing lies in achieving a delicate balance: leveraging the creativity and interactivity of digital platforms while preserving the depth, rigor, and ethical purpose of higher education. If implemented thoughtfully, this approach can help cultivate graduates who are not only knowledgeable about business theories but also equipped with the adaptability, creativity, and digital fluency required in the modern marketplace.</w:t>
      </w:r>
    </w:p>
    <w:p w14:paraId="5AAF7A5D" w14:textId="77777777" w:rsidR="00AA3EC0" w:rsidRDefault="00AA3EC0">
      <w:pPr>
        <w:rPr>
          <w:b/>
          <w:i/>
        </w:rPr>
      </w:pPr>
    </w:p>
    <w:p w14:paraId="18F61735" w14:textId="77777777" w:rsidR="00AA3EC0" w:rsidRDefault="00AA3EC0">
      <w:pPr>
        <w:rPr>
          <w:b/>
        </w:rPr>
      </w:pPr>
    </w:p>
    <w:p w14:paraId="33E5026E" w14:textId="77777777" w:rsidR="00AA3EC0" w:rsidRDefault="00000000">
      <w:pPr>
        <w:rPr>
          <w:b/>
          <w:color w:val="000000"/>
        </w:rPr>
      </w:pPr>
      <w:r>
        <w:rPr>
          <w:b/>
          <w:color w:val="000000"/>
        </w:rPr>
        <w:t xml:space="preserve">ACKNOWLEDGEMENTS </w:t>
      </w:r>
      <w:r>
        <w:rPr>
          <w:b/>
        </w:rPr>
        <w:t>(10 PT)</w:t>
      </w:r>
    </w:p>
    <w:p w14:paraId="739AF5F2" w14:textId="77777777" w:rsidR="00AA3EC0" w:rsidRDefault="00000000">
      <w:pPr>
        <w:ind w:firstLine="720"/>
        <w:jc w:val="both"/>
      </w:pPr>
      <w:r>
        <w:t>This section is optional and possibly excluded from the manuscript. If any, you may wish to thank those who have supported you and your work. Personal acknowledgements will be limited to appropriate professionals who contributed to the paper, including technical assistance and/or financial material support.</w:t>
      </w:r>
    </w:p>
    <w:p w14:paraId="1ADA49C4" w14:textId="77777777" w:rsidR="00AA3EC0" w:rsidRDefault="00AA3EC0">
      <w:pPr>
        <w:rPr>
          <w:b/>
        </w:rPr>
      </w:pPr>
    </w:p>
    <w:p w14:paraId="434C99A1" w14:textId="77777777" w:rsidR="00AA3EC0" w:rsidRDefault="00000000">
      <w:pPr>
        <w:rPr>
          <w:b/>
        </w:rPr>
      </w:pPr>
      <w:r>
        <w:rPr>
          <w:b/>
          <w:color w:val="000000"/>
        </w:rPr>
        <w:t xml:space="preserve">REFERENCES </w:t>
      </w:r>
      <w:r>
        <w:rPr>
          <w:b/>
        </w:rPr>
        <w:t>(10 PT)</w:t>
      </w:r>
    </w:p>
    <w:p w14:paraId="5E35EDC0" w14:textId="1D490A7A" w:rsidR="007867CB" w:rsidRPr="007867CB" w:rsidRDefault="007867CB" w:rsidP="007867CB">
      <w:pPr>
        <w:ind w:left="567" w:hanging="567"/>
        <w:jc w:val="both"/>
        <w:rPr>
          <w:color w:val="000000"/>
          <w:sz w:val="22"/>
          <w:szCs w:val="22"/>
        </w:rPr>
      </w:pPr>
      <w:bookmarkStart w:id="0" w:name="_heading=h.gjdgxs" w:colFirst="0" w:colLast="0"/>
      <w:bookmarkEnd w:id="0"/>
      <w:r w:rsidRPr="007867CB">
        <w:rPr>
          <w:color w:val="000000"/>
          <w:sz w:val="22"/>
          <w:szCs w:val="22"/>
        </w:rPr>
        <w:t xml:space="preserve">Brodie, R. J., </w:t>
      </w:r>
      <w:proofErr w:type="spellStart"/>
      <w:r w:rsidRPr="007867CB">
        <w:rPr>
          <w:color w:val="000000"/>
          <w:sz w:val="22"/>
          <w:szCs w:val="22"/>
        </w:rPr>
        <w:t>Hollebeek</w:t>
      </w:r>
      <w:proofErr w:type="spellEnd"/>
      <w:r w:rsidRPr="007867CB">
        <w:rPr>
          <w:color w:val="000000"/>
          <w:sz w:val="22"/>
          <w:szCs w:val="22"/>
        </w:rPr>
        <w:t xml:space="preserve">, L. D., Jurić, B., &amp; Ilić, A. (2011). Customer engagement: Conceptual domain, fundamental propositions, and implications for research. Journal of Service Research, 14(3), 252–271. </w:t>
      </w:r>
      <w:hyperlink r:id="rId12" w:history="1">
        <w:r w:rsidRPr="00495303">
          <w:rPr>
            <w:rStyle w:val="Hyperlink"/>
            <w:sz w:val="22"/>
            <w:szCs w:val="22"/>
          </w:rPr>
          <w:t>https://doi.org/10.1177/1094670511411703</w:t>
        </w:r>
      </w:hyperlink>
      <w:r>
        <w:rPr>
          <w:color w:val="000000"/>
          <w:sz w:val="22"/>
          <w:szCs w:val="22"/>
        </w:rPr>
        <w:t xml:space="preserve"> </w:t>
      </w:r>
    </w:p>
    <w:p w14:paraId="55EECC85" w14:textId="3597EF53" w:rsidR="007867CB" w:rsidRPr="007867CB" w:rsidRDefault="007867CB" w:rsidP="007867CB">
      <w:pPr>
        <w:ind w:left="567" w:hanging="567"/>
        <w:jc w:val="both"/>
        <w:rPr>
          <w:color w:val="000000"/>
          <w:sz w:val="22"/>
          <w:szCs w:val="22"/>
        </w:rPr>
      </w:pPr>
      <w:r w:rsidRPr="007867CB">
        <w:rPr>
          <w:color w:val="000000"/>
          <w:sz w:val="22"/>
          <w:szCs w:val="22"/>
        </w:rPr>
        <w:t xml:space="preserve">Crompton, H., &amp; Burke, D. (2018). The use of mobile learning in higher education: A systematic review. Computers &amp; Education, 123, 53–64. </w:t>
      </w:r>
      <w:hyperlink r:id="rId13" w:history="1">
        <w:r w:rsidRPr="00495303">
          <w:rPr>
            <w:rStyle w:val="Hyperlink"/>
            <w:sz w:val="22"/>
            <w:szCs w:val="22"/>
          </w:rPr>
          <w:t>https://doi.org/10.1016/j.compedu.2018.04.007</w:t>
        </w:r>
      </w:hyperlink>
      <w:r>
        <w:rPr>
          <w:color w:val="000000"/>
          <w:sz w:val="22"/>
          <w:szCs w:val="22"/>
        </w:rPr>
        <w:t xml:space="preserve"> </w:t>
      </w:r>
    </w:p>
    <w:p w14:paraId="4528E820" w14:textId="26AAFF74" w:rsidR="007867CB" w:rsidRPr="007867CB" w:rsidRDefault="007867CB" w:rsidP="007867CB">
      <w:pPr>
        <w:ind w:left="567" w:hanging="567"/>
        <w:jc w:val="both"/>
        <w:rPr>
          <w:color w:val="000000"/>
          <w:sz w:val="22"/>
          <w:szCs w:val="22"/>
        </w:rPr>
      </w:pPr>
      <w:r w:rsidRPr="007867CB">
        <w:rPr>
          <w:color w:val="000000"/>
          <w:sz w:val="22"/>
          <w:szCs w:val="22"/>
        </w:rPr>
        <w:lastRenderedPageBreak/>
        <w:t xml:space="preserve">Crompton, H., &amp; Burke, D. (2020). Mobile learning and pedagogical opportunities: A pandemic perspective. Educational Technology Research and Development, 68(4), 1995–2000. </w:t>
      </w:r>
      <w:hyperlink r:id="rId14" w:history="1">
        <w:r w:rsidRPr="00495303">
          <w:rPr>
            <w:rStyle w:val="Hyperlink"/>
            <w:sz w:val="22"/>
            <w:szCs w:val="22"/>
          </w:rPr>
          <w:t>https://doi.org/10.1007/s11423-020-09841-6</w:t>
        </w:r>
      </w:hyperlink>
      <w:r>
        <w:rPr>
          <w:color w:val="000000"/>
          <w:sz w:val="22"/>
          <w:szCs w:val="22"/>
        </w:rPr>
        <w:t xml:space="preserve"> </w:t>
      </w:r>
    </w:p>
    <w:p w14:paraId="4D5DFD59" w14:textId="06135C7B" w:rsidR="007867CB" w:rsidRPr="007867CB" w:rsidRDefault="007867CB" w:rsidP="007867CB">
      <w:pPr>
        <w:ind w:left="567" w:hanging="567"/>
        <w:jc w:val="both"/>
        <w:rPr>
          <w:color w:val="000000"/>
          <w:sz w:val="22"/>
          <w:szCs w:val="22"/>
        </w:rPr>
      </w:pPr>
      <w:r w:rsidRPr="007867CB">
        <w:rPr>
          <w:color w:val="000000"/>
          <w:sz w:val="22"/>
          <w:szCs w:val="22"/>
        </w:rPr>
        <w:t xml:space="preserve">Davis, F. D. (1989). Perceived usefulness, perceived ease of use, and user acceptance of information technology. MIS Quarterly, 13(3), 319–340. </w:t>
      </w:r>
      <w:hyperlink r:id="rId15" w:history="1">
        <w:r w:rsidRPr="00495303">
          <w:rPr>
            <w:rStyle w:val="Hyperlink"/>
            <w:sz w:val="22"/>
            <w:szCs w:val="22"/>
          </w:rPr>
          <w:t>https://doi.org/10.2307/249008</w:t>
        </w:r>
      </w:hyperlink>
      <w:r>
        <w:rPr>
          <w:color w:val="000000"/>
          <w:sz w:val="22"/>
          <w:szCs w:val="22"/>
        </w:rPr>
        <w:t xml:space="preserve"> </w:t>
      </w:r>
    </w:p>
    <w:p w14:paraId="29CD247D" w14:textId="2B07D601" w:rsidR="007867CB" w:rsidRPr="007867CB" w:rsidRDefault="007867CB" w:rsidP="007867CB">
      <w:pPr>
        <w:ind w:left="567" w:hanging="567"/>
        <w:jc w:val="both"/>
        <w:rPr>
          <w:color w:val="000000"/>
          <w:sz w:val="22"/>
          <w:szCs w:val="22"/>
        </w:rPr>
      </w:pPr>
      <w:r w:rsidRPr="007867CB">
        <w:rPr>
          <w:color w:val="000000"/>
          <w:sz w:val="22"/>
          <w:szCs w:val="22"/>
        </w:rPr>
        <w:t xml:space="preserve">Deci, E. L., &amp; Ryan, R. M. (2000). The “what” and “why” of goal pursuits: Human needs and the self-determination of behavior. Psychological Inquiry, 11(4), 227–268. </w:t>
      </w:r>
      <w:hyperlink r:id="rId16" w:history="1">
        <w:r w:rsidRPr="00495303">
          <w:rPr>
            <w:rStyle w:val="Hyperlink"/>
            <w:sz w:val="22"/>
            <w:szCs w:val="22"/>
          </w:rPr>
          <w:t>https://doi.org/10.1207/S15327965PLI1104_01</w:t>
        </w:r>
      </w:hyperlink>
      <w:r>
        <w:rPr>
          <w:color w:val="000000"/>
          <w:sz w:val="22"/>
          <w:szCs w:val="22"/>
        </w:rPr>
        <w:t xml:space="preserve"> </w:t>
      </w:r>
    </w:p>
    <w:p w14:paraId="3DFD8B21" w14:textId="73664FDE" w:rsidR="007867CB" w:rsidRPr="007867CB" w:rsidRDefault="007867CB" w:rsidP="007867CB">
      <w:pPr>
        <w:ind w:left="567" w:hanging="567"/>
        <w:jc w:val="both"/>
        <w:rPr>
          <w:color w:val="000000"/>
          <w:sz w:val="22"/>
          <w:szCs w:val="22"/>
        </w:rPr>
      </w:pPr>
      <w:r w:rsidRPr="007867CB">
        <w:rPr>
          <w:color w:val="000000"/>
          <w:sz w:val="22"/>
          <w:szCs w:val="22"/>
        </w:rPr>
        <w:t xml:space="preserve">Deterding, S., Dixon, D., Khaled, R., &amp; Nacke, L. (2011). From game design elements to </w:t>
      </w:r>
      <w:proofErr w:type="spellStart"/>
      <w:r w:rsidRPr="007867CB">
        <w:rPr>
          <w:color w:val="000000"/>
          <w:sz w:val="22"/>
          <w:szCs w:val="22"/>
        </w:rPr>
        <w:t>gamefulness</w:t>
      </w:r>
      <w:proofErr w:type="spellEnd"/>
      <w:r w:rsidRPr="007867CB">
        <w:rPr>
          <w:color w:val="000000"/>
          <w:sz w:val="22"/>
          <w:szCs w:val="22"/>
        </w:rPr>
        <w:t xml:space="preserve">: Defining “gamification.” In Proceedings of the 15th International Academic </w:t>
      </w:r>
      <w:proofErr w:type="spellStart"/>
      <w:r w:rsidRPr="007867CB">
        <w:rPr>
          <w:color w:val="000000"/>
          <w:sz w:val="22"/>
          <w:szCs w:val="22"/>
        </w:rPr>
        <w:t>MindTrek</w:t>
      </w:r>
      <w:proofErr w:type="spellEnd"/>
      <w:r w:rsidRPr="007867CB">
        <w:rPr>
          <w:color w:val="000000"/>
          <w:sz w:val="22"/>
          <w:szCs w:val="22"/>
        </w:rPr>
        <w:t xml:space="preserve"> Conference (pp. 9–15). </w:t>
      </w:r>
      <w:hyperlink r:id="rId17" w:history="1">
        <w:r w:rsidRPr="00495303">
          <w:rPr>
            <w:rStyle w:val="Hyperlink"/>
            <w:sz w:val="22"/>
            <w:szCs w:val="22"/>
          </w:rPr>
          <w:t>https://doi.org/10.1145/2181037.2181040</w:t>
        </w:r>
      </w:hyperlink>
      <w:r>
        <w:rPr>
          <w:color w:val="000000"/>
          <w:sz w:val="22"/>
          <w:szCs w:val="22"/>
        </w:rPr>
        <w:t xml:space="preserve"> </w:t>
      </w:r>
    </w:p>
    <w:p w14:paraId="42CF41E9" w14:textId="1CC29E7F" w:rsidR="007867CB" w:rsidRPr="007867CB" w:rsidRDefault="007867CB" w:rsidP="007867CB">
      <w:pPr>
        <w:ind w:left="567" w:hanging="567"/>
        <w:jc w:val="both"/>
        <w:rPr>
          <w:color w:val="000000"/>
          <w:sz w:val="22"/>
          <w:szCs w:val="22"/>
        </w:rPr>
      </w:pPr>
      <w:r w:rsidRPr="007867CB">
        <w:rPr>
          <w:color w:val="000000"/>
          <w:sz w:val="22"/>
          <w:szCs w:val="22"/>
        </w:rPr>
        <w:t xml:space="preserve">Garrison, D. R., Anderson, T., &amp; Archer, W. (2000). Critical inquiry in a text-based environment: Computer conferencing in higher education. The Internet and Higher Education, 2(2–3), 87–105. </w:t>
      </w:r>
      <w:hyperlink r:id="rId18" w:history="1">
        <w:r w:rsidRPr="00495303">
          <w:rPr>
            <w:rStyle w:val="Hyperlink"/>
            <w:sz w:val="22"/>
            <w:szCs w:val="22"/>
          </w:rPr>
          <w:t>https://doi.org/10.1016/S1096-7516(00)00016-6</w:t>
        </w:r>
      </w:hyperlink>
      <w:r>
        <w:rPr>
          <w:color w:val="000000"/>
          <w:sz w:val="22"/>
          <w:szCs w:val="22"/>
        </w:rPr>
        <w:t xml:space="preserve"> </w:t>
      </w:r>
    </w:p>
    <w:p w14:paraId="24206814" w14:textId="29C718AD" w:rsidR="007867CB" w:rsidRPr="007867CB" w:rsidRDefault="007867CB" w:rsidP="007867CB">
      <w:pPr>
        <w:ind w:left="567" w:hanging="567"/>
        <w:jc w:val="both"/>
        <w:rPr>
          <w:color w:val="000000"/>
          <w:sz w:val="22"/>
          <w:szCs w:val="22"/>
        </w:rPr>
      </w:pPr>
      <w:r w:rsidRPr="007867CB">
        <w:rPr>
          <w:color w:val="000000"/>
          <w:sz w:val="22"/>
          <w:szCs w:val="22"/>
        </w:rPr>
        <w:t xml:space="preserve">Gikas, J., &amp; Grant, M. M. (2013). Mobile computing devices in higher education: Student perspectives on learning with cellphones, smartphones &amp; social media. The Internet and Higher Education, 19, 18–26. </w:t>
      </w:r>
      <w:hyperlink r:id="rId19" w:history="1">
        <w:r w:rsidRPr="00495303">
          <w:rPr>
            <w:rStyle w:val="Hyperlink"/>
            <w:sz w:val="22"/>
            <w:szCs w:val="22"/>
          </w:rPr>
          <w:t>https://doi.org/10.1016/j.iheduc.2013.06.002</w:t>
        </w:r>
      </w:hyperlink>
      <w:r>
        <w:rPr>
          <w:color w:val="000000"/>
          <w:sz w:val="22"/>
          <w:szCs w:val="22"/>
        </w:rPr>
        <w:t xml:space="preserve"> </w:t>
      </w:r>
    </w:p>
    <w:p w14:paraId="0A459857" w14:textId="2786D6C3" w:rsidR="007867CB" w:rsidRPr="007867CB" w:rsidRDefault="007867CB" w:rsidP="007867CB">
      <w:pPr>
        <w:ind w:left="567" w:hanging="567"/>
        <w:jc w:val="both"/>
        <w:rPr>
          <w:color w:val="000000"/>
          <w:sz w:val="22"/>
          <w:szCs w:val="22"/>
        </w:rPr>
      </w:pPr>
      <w:r w:rsidRPr="007867CB">
        <w:rPr>
          <w:color w:val="000000"/>
          <w:sz w:val="22"/>
          <w:szCs w:val="22"/>
        </w:rPr>
        <w:t xml:space="preserve">Gikas, J., &amp; Grant, M. M. (2013). Mobile computing devices in higher education: Student perspectives on learning with cellphones, smartphones &amp; social media. The Internet and Higher Education, 19, 18–26. </w:t>
      </w:r>
      <w:hyperlink r:id="rId20" w:history="1">
        <w:r w:rsidRPr="00495303">
          <w:rPr>
            <w:rStyle w:val="Hyperlink"/>
            <w:sz w:val="22"/>
            <w:szCs w:val="22"/>
          </w:rPr>
          <w:t>https://doi.org/10.1016/j.iheduc.2013.06.002</w:t>
        </w:r>
      </w:hyperlink>
      <w:r>
        <w:rPr>
          <w:color w:val="000000"/>
          <w:sz w:val="22"/>
          <w:szCs w:val="22"/>
        </w:rPr>
        <w:t xml:space="preserve"> </w:t>
      </w:r>
    </w:p>
    <w:p w14:paraId="2AF2099D" w14:textId="6C3899C0" w:rsidR="007867CB" w:rsidRPr="007867CB" w:rsidRDefault="007867CB" w:rsidP="007867CB">
      <w:pPr>
        <w:ind w:left="567" w:hanging="567"/>
        <w:jc w:val="both"/>
        <w:rPr>
          <w:color w:val="000000"/>
          <w:sz w:val="22"/>
          <w:szCs w:val="22"/>
        </w:rPr>
      </w:pPr>
      <w:r w:rsidRPr="007867CB">
        <w:rPr>
          <w:color w:val="000000"/>
          <w:sz w:val="22"/>
          <w:szCs w:val="22"/>
        </w:rPr>
        <w:t xml:space="preserve">Hsu, Y.-C., &amp; Ching, Y.-H. (2015). A review of models and frameworks for designing mobile learning experiences and environments. Canadian Journal of Learning and Technology, 41(3), 1–22. </w:t>
      </w:r>
      <w:hyperlink r:id="rId21" w:history="1">
        <w:r w:rsidRPr="00495303">
          <w:rPr>
            <w:rStyle w:val="Hyperlink"/>
            <w:sz w:val="22"/>
            <w:szCs w:val="22"/>
          </w:rPr>
          <w:t>https://doi.org/10.21432/T2QP4K</w:t>
        </w:r>
      </w:hyperlink>
      <w:r>
        <w:rPr>
          <w:color w:val="000000"/>
          <w:sz w:val="22"/>
          <w:szCs w:val="22"/>
        </w:rPr>
        <w:t xml:space="preserve"> </w:t>
      </w:r>
    </w:p>
    <w:p w14:paraId="226794DE" w14:textId="4B7778E1" w:rsidR="007867CB" w:rsidRPr="007867CB" w:rsidRDefault="007867CB" w:rsidP="007867CB">
      <w:pPr>
        <w:ind w:left="567" w:hanging="567"/>
        <w:jc w:val="both"/>
        <w:rPr>
          <w:color w:val="000000"/>
          <w:sz w:val="22"/>
          <w:szCs w:val="22"/>
        </w:rPr>
      </w:pPr>
      <w:r w:rsidRPr="007867CB">
        <w:rPr>
          <w:color w:val="000000"/>
          <w:sz w:val="22"/>
          <w:szCs w:val="22"/>
        </w:rPr>
        <w:t xml:space="preserve">Kearney, M., Schuck, S., Burden, K., &amp; Aubusson, P. (2012). Viewing mobile learning from a pedagogical perspective. Research in Learning Technology, 20(1), 1–17. </w:t>
      </w:r>
      <w:hyperlink r:id="rId22" w:history="1">
        <w:r w:rsidRPr="00495303">
          <w:rPr>
            <w:rStyle w:val="Hyperlink"/>
            <w:sz w:val="22"/>
            <w:szCs w:val="22"/>
          </w:rPr>
          <w:t>https://doi.org/10.3402/rlt.v20i0.14406</w:t>
        </w:r>
      </w:hyperlink>
      <w:r>
        <w:rPr>
          <w:color w:val="000000"/>
          <w:sz w:val="22"/>
          <w:szCs w:val="22"/>
        </w:rPr>
        <w:t xml:space="preserve"> </w:t>
      </w:r>
    </w:p>
    <w:p w14:paraId="7AC6D167" w14:textId="77777777" w:rsidR="007867CB" w:rsidRPr="007867CB" w:rsidRDefault="007867CB" w:rsidP="007867CB">
      <w:pPr>
        <w:ind w:left="567" w:hanging="567"/>
        <w:jc w:val="both"/>
        <w:rPr>
          <w:color w:val="000000"/>
          <w:sz w:val="22"/>
          <w:szCs w:val="22"/>
        </w:rPr>
      </w:pPr>
      <w:r w:rsidRPr="007867CB">
        <w:rPr>
          <w:color w:val="000000"/>
          <w:sz w:val="22"/>
          <w:szCs w:val="22"/>
        </w:rPr>
        <w:t>Kolb, D. A. (1984). Experiential learning: Experience as the source of learning and development. Prentice Hall.</w:t>
      </w:r>
    </w:p>
    <w:p w14:paraId="385C4492" w14:textId="77777777" w:rsidR="007867CB" w:rsidRPr="007867CB" w:rsidRDefault="007867CB" w:rsidP="007867CB">
      <w:pPr>
        <w:ind w:left="567" w:hanging="567"/>
        <w:jc w:val="both"/>
        <w:rPr>
          <w:color w:val="000000"/>
          <w:sz w:val="22"/>
          <w:szCs w:val="22"/>
        </w:rPr>
      </w:pPr>
      <w:r w:rsidRPr="007867CB">
        <w:rPr>
          <w:color w:val="000000"/>
          <w:sz w:val="22"/>
          <w:szCs w:val="22"/>
        </w:rPr>
        <w:t>Koole, M. L. (2009). A model for framing mobile learning. In M. Ally (Ed.), Mobile Learning: Transforming the Delivery of Education and Training (pp. 25–47). AU Press.</w:t>
      </w:r>
    </w:p>
    <w:p w14:paraId="46BF5AF2" w14:textId="77777777" w:rsidR="007867CB" w:rsidRPr="007867CB" w:rsidRDefault="007867CB" w:rsidP="007867CB">
      <w:pPr>
        <w:ind w:left="567" w:hanging="567"/>
        <w:jc w:val="both"/>
        <w:rPr>
          <w:color w:val="000000"/>
          <w:sz w:val="22"/>
          <w:szCs w:val="22"/>
        </w:rPr>
      </w:pPr>
      <w:r w:rsidRPr="007867CB">
        <w:rPr>
          <w:color w:val="000000"/>
          <w:sz w:val="22"/>
          <w:szCs w:val="22"/>
        </w:rPr>
        <w:t>Kotler, P., &amp; Keller, K. L. (2016). Marketing management (15th ed.). Pearson Education.</w:t>
      </w:r>
    </w:p>
    <w:p w14:paraId="3610E1D0" w14:textId="7867E430" w:rsidR="007867CB" w:rsidRPr="007867CB" w:rsidRDefault="007867CB" w:rsidP="007867CB">
      <w:pPr>
        <w:ind w:left="567" w:hanging="567"/>
        <w:jc w:val="both"/>
        <w:rPr>
          <w:color w:val="000000"/>
          <w:sz w:val="22"/>
          <w:szCs w:val="22"/>
        </w:rPr>
      </w:pPr>
      <w:r w:rsidRPr="007867CB">
        <w:rPr>
          <w:color w:val="000000"/>
          <w:sz w:val="22"/>
          <w:szCs w:val="22"/>
        </w:rPr>
        <w:t xml:space="preserve">Kukulska-Hulme, A. (2017). Mobile learning: The next generation. International Journal of Mobile and Blended Learning, 9(2), 1–12. </w:t>
      </w:r>
      <w:hyperlink r:id="rId23" w:history="1">
        <w:r w:rsidRPr="00495303">
          <w:rPr>
            <w:rStyle w:val="Hyperlink"/>
            <w:sz w:val="22"/>
            <w:szCs w:val="22"/>
          </w:rPr>
          <w:t>https://doi.org/10.4018/IJMBL.2017040101</w:t>
        </w:r>
      </w:hyperlink>
      <w:r>
        <w:rPr>
          <w:color w:val="000000"/>
          <w:sz w:val="22"/>
          <w:szCs w:val="22"/>
        </w:rPr>
        <w:t xml:space="preserve"> </w:t>
      </w:r>
    </w:p>
    <w:p w14:paraId="40B3B19E" w14:textId="77777777" w:rsidR="007867CB" w:rsidRPr="007867CB" w:rsidRDefault="007867CB" w:rsidP="007867CB">
      <w:pPr>
        <w:ind w:left="567" w:hanging="567"/>
        <w:jc w:val="both"/>
        <w:rPr>
          <w:color w:val="000000"/>
          <w:sz w:val="22"/>
          <w:szCs w:val="22"/>
        </w:rPr>
      </w:pPr>
      <w:r w:rsidRPr="007867CB">
        <w:rPr>
          <w:color w:val="000000"/>
          <w:sz w:val="22"/>
          <w:szCs w:val="22"/>
        </w:rPr>
        <w:t>Mayer, R. E. (2009). Multimedia learning (2nd ed.). Cambridge University Press.</w:t>
      </w:r>
    </w:p>
    <w:p w14:paraId="48B1D80F" w14:textId="589496DC" w:rsidR="007867CB" w:rsidRPr="007867CB" w:rsidRDefault="007867CB" w:rsidP="007867CB">
      <w:pPr>
        <w:ind w:left="567" w:hanging="567"/>
        <w:jc w:val="both"/>
        <w:rPr>
          <w:color w:val="000000"/>
          <w:sz w:val="22"/>
          <w:szCs w:val="22"/>
        </w:rPr>
      </w:pPr>
      <w:r w:rsidRPr="007867CB">
        <w:rPr>
          <w:color w:val="000000"/>
          <w:sz w:val="22"/>
          <w:szCs w:val="22"/>
        </w:rPr>
        <w:t xml:space="preserve">Mishra, P., &amp; Koehler, M. J. (2006). Technological pedagogical content knowledge: A framework for teacher knowledge. Teachers College Record, 108(6), 1017–1054. </w:t>
      </w:r>
      <w:hyperlink r:id="rId24" w:history="1">
        <w:r w:rsidRPr="00495303">
          <w:rPr>
            <w:rStyle w:val="Hyperlink"/>
            <w:sz w:val="22"/>
            <w:szCs w:val="22"/>
          </w:rPr>
          <w:t>https://doi.org/10.1111/j.1467-9620.2006.00684.x</w:t>
        </w:r>
      </w:hyperlink>
      <w:r>
        <w:rPr>
          <w:color w:val="000000"/>
          <w:sz w:val="22"/>
          <w:szCs w:val="22"/>
        </w:rPr>
        <w:t xml:space="preserve"> </w:t>
      </w:r>
    </w:p>
    <w:p w14:paraId="69BA933C" w14:textId="1A1EBBB5" w:rsidR="007867CB" w:rsidRPr="007867CB" w:rsidRDefault="007867CB" w:rsidP="007867CB">
      <w:pPr>
        <w:ind w:left="567" w:hanging="567"/>
        <w:jc w:val="both"/>
        <w:rPr>
          <w:color w:val="000000"/>
          <w:sz w:val="22"/>
          <w:szCs w:val="22"/>
        </w:rPr>
      </w:pPr>
      <w:r w:rsidRPr="007867CB">
        <w:rPr>
          <w:color w:val="000000"/>
          <w:sz w:val="22"/>
          <w:szCs w:val="22"/>
        </w:rPr>
        <w:t xml:space="preserve">Prensky, M. (2001). Digital natives, digital immigrants. On the Horizon, 9(5), 1–6. </w:t>
      </w:r>
      <w:hyperlink r:id="rId25" w:history="1">
        <w:r w:rsidRPr="00495303">
          <w:rPr>
            <w:rStyle w:val="Hyperlink"/>
            <w:sz w:val="22"/>
            <w:szCs w:val="22"/>
          </w:rPr>
          <w:t>https://doi.org/10.1108/10748120110424816</w:t>
        </w:r>
      </w:hyperlink>
      <w:r>
        <w:rPr>
          <w:color w:val="000000"/>
          <w:sz w:val="22"/>
          <w:szCs w:val="22"/>
        </w:rPr>
        <w:t xml:space="preserve"> </w:t>
      </w:r>
    </w:p>
    <w:p w14:paraId="35AF5231" w14:textId="77777777" w:rsidR="007867CB" w:rsidRPr="007867CB" w:rsidRDefault="007867CB" w:rsidP="007867CB">
      <w:pPr>
        <w:ind w:left="567" w:hanging="567"/>
        <w:jc w:val="both"/>
        <w:rPr>
          <w:color w:val="000000"/>
          <w:sz w:val="22"/>
          <w:szCs w:val="22"/>
        </w:rPr>
      </w:pPr>
      <w:proofErr w:type="spellStart"/>
      <w:r w:rsidRPr="007867CB">
        <w:rPr>
          <w:color w:val="000000"/>
          <w:sz w:val="22"/>
          <w:szCs w:val="22"/>
        </w:rPr>
        <w:t>Puentedura</w:t>
      </w:r>
      <w:proofErr w:type="spellEnd"/>
      <w:r w:rsidRPr="007867CB">
        <w:rPr>
          <w:color w:val="000000"/>
          <w:sz w:val="22"/>
          <w:szCs w:val="22"/>
        </w:rPr>
        <w:t xml:space="preserve">, R. R. (2013). SAMR and TPCK: A hands-on approach to classroom practice. </w:t>
      </w:r>
      <w:proofErr w:type="spellStart"/>
      <w:r w:rsidRPr="007867CB">
        <w:rPr>
          <w:color w:val="000000"/>
          <w:sz w:val="22"/>
          <w:szCs w:val="22"/>
        </w:rPr>
        <w:t>Hipasan</w:t>
      </w:r>
      <w:proofErr w:type="spellEnd"/>
      <w:r w:rsidRPr="007867CB">
        <w:rPr>
          <w:color w:val="000000"/>
          <w:sz w:val="22"/>
          <w:szCs w:val="22"/>
        </w:rPr>
        <w:t xml:space="preserve"> workshop materials.</w:t>
      </w:r>
    </w:p>
    <w:p w14:paraId="21F10323" w14:textId="4A58BA94" w:rsidR="007867CB" w:rsidRPr="007867CB" w:rsidRDefault="007867CB" w:rsidP="007867CB">
      <w:pPr>
        <w:ind w:left="567" w:hanging="567"/>
        <w:jc w:val="both"/>
        <w:rPr>
          <w:color w:val="000000"/>
          <w:sz w:val="22"/>
          <w:szCs w:val="22"/>
        </w:rPr>
      </w:pPr>
      <w:r w:rsidRPr="007867CB">
        <w:rPr>
          <w:color w:val="000000"/>
          <w:sz w:val="22"/>
          <w:szCs w:val="22"/>
        </w:rPr>
        <w:t xml:space="preserve">Sung, Y.-T., Chang, K.-E., &amp; Liu, T.-C. (2016). The effects of integrating mobile devices with teaching and learning on students’ learning performance: A meta-analysis and research synthesis. Computers &amp; Education, 94, 252–275. </w:t>
      </w:r>
      <w:hyperlink r:id="rId26" w:history="1">
        <w:r w:rsidRPr="00495303">
          <w:rPr>
            <w:rStyle w:val="Hyperlink"/>
            <w:sz w:val="22"/>
            <w:szCs w:val="22"/>
          </w:rPr>
          <w:t>https://doi.org/10.1016/j.compedu.2015.11.008</w:t>
        </w:r>
      </w:hyperlink>
      <w:r>
        <w:rPr>
          <w:color w:val="000000"/>
          <w:sz w:val="22"/>
          <w:szCs w:val="22"/>
        </w:rPr>
        <w:t xml:space="preserve"> </w:t>
      </w:r>
    </w:p>
    <w:p w14:paraId="36120751" w14:textId="7284B7CA" w:rsidR="007867CB" w:rsidRPr="007867CB" w:rsidRDefault="007867CB" w:rsidP="007867CB">
      <w:pPr>
        <w:ind w:left="567" w:hanging="567"/>
        <w:jc w:val="both"/>
        <w:rPr>
          <w:color w:val="000000"/>
          <w:sz w:val="22"/>
          <w:szCs w:val="22"/>
        </w:rPr>
      </w:pPr>
      <w:proofErr w:type="spellStart"/>
      <w:r w:rsidRPr="007867CB">
        <w:rPr>
          <w:color w:val="000000"/>
          <w:sz w:val="22"/>
          <w:szCs w:val="22"/>
        </w:rPr>
        <w:t>Sweller</w:t>
      </w:r>
      <w:proofErr w:type="spellEnd"/>
      <w:r w:rsidRPr="007867CB">
        <w:rPr>
          <w:color w:val="000000"/>
          <w:sz w:val="22"/>
          <w:szCs w:val="22"/>
        </w:rPr>
        <w:t xml:space="preserve">, J. (1994). Cognitive load theory, learning difficulty, and instructional design. Learning and Instruction, 4(4), 295–312. </w:t>
      </w:r>
      <w:hyperlink r:id="rId27" w:history="1">
        <w:r w:rsidRPr="00495303">
          <w:rPr>
            <w:rStyle w:val="Hyperlink"/>
            <w:sz w:val="22"/>
            <w:szCs w:val="22"/>
          </w:rPr>
          <w:t>https://doi.org/10.1016/0959-4752(94)90003-5</w:t>
        </w:r>
      </w:hyperlink>
      <w:r>
        <w:rPr>
          <w:color w:val="000000"/>
          <w:sz w:val="22"/>
          <w:szCs w:val="22"/>
        </w:rPr>
        <w:t xml:space="preserve"> </w:t>
      </w:r>
    </w:p>
    <w:p w14:paraId="6CAF91B4" w14:textId="3594B4AC" w:rsidR="007867CB" w:rsidRPr="007867CB" w:rsidRDefault="007867CB" w:rsidP="007867CB">
      <w:pPr>
        <w:ind w:left="567" w:hanging="567"/>
        <w:jc w:val="both"/>
        <w:rPr>
          <w:color w:val="000000"/>
          <w:sz w:val="22"/>
          <w:szCs w:val="22"/>
        </w:rPr>
      </w:pPr>
      <w:r w:rsidRPr="007867CB">
        <w:rPr>
          <w:color w:val="000000"/>
          <w:sz w:val="22"/>
          <w:szCs w:val="22"/>
        </w:rPr>
        <w:t xml:space="preserve">Traxler, J. (2018). Learning with mobiles in developing countries: Technology, language, and literacy. International Journal of Mobile and Blended Learning, 10(1), 1–15. </w:t>
      </w:r>
      <w:hyperlink r:id="rId28" w:history="1">
        <w:r w:rsidRPr="00495303">
          <w:rPr>
            <w:rStyle w:val="Hyperlink"/>
            <w:sz w:val="22"/>
            <w:szCs w:val="22"/>
          </w:rPr>
          <w:t>https://doi.org/10.4018/IJMBL.2018010101</w:t>
        </w:r>
      </w:hyperlink>
      <w:r>
        <w:rPr>
          <w:color w:val="000000"/>
          <w:sz w:val="22"/>
          <w:szCs w:val="22"/>
        </w:rPr>
        <w:t xml:space="preserve"> </w:t>
      </w:r>
    </w:p>
    <w:p w14:paraId="26759A15" w14:textId="35B62E58" w:rsidR="007867CB" w:rsidRPr="007867CB" w:rsidRDefault="007867CB" w:rsidP="007867CB">
      <w:pPr>
        <w:ind w:left="567" w:hanging="567"/>
        <w:jc w:val="both"/>
        <w:rPr>
          <w:color w:val="000000"/>
          <w:sz w:val="22"/>
          <w:szCs w:val="22"/>
        </w:rPr>
      </w:pPr>
      <w:r w:rsidRPr="007867CB">
        <w:rPr>
          <w:color w:val="000000"/>
          <w:sz w:val="22"/>
          <w:szCs w:val="22"/>
        </w:rPr>
        <w:t xml:space="preserve">Vargo, S. L., &amp; Lusch, R. F. (2008). Service-dominant logic: Continuing the evolution. Journal of the Academy of Marketing Science, 36(1), 1–10. </w:t>
      </w:r>
      <w:hyperlink r:id="rId29" w:history="1">
        <w:r w:rsidRPr="00495303">
          <w:rPr>
            <w:rStyle w:val="Hyperlink"/>
            <w:sz w:val="22"/>
            <w:szCs w:val="22"/>
          </w:rPr>
          <w:t>https://doi.org/10.1007/s11747-007-0069-6</w:t>
        </w:r>
      </w:hyperlink>
      <w:r>
        <w:rPr>
          <w:color w:val="000000"/>
          <w:sz w:val="22"/>
          <w:szCs w:val="22"/>
        </w:rPr>
        <w:t xml:space="preserve"> </w:t>
      </w:r>
    </w:p>
    <w:p w14:paraId="2F33D451" w14:textId="7F251756" w:rsidR="007867CB" w:rsidRPr="007867CB" w:rsidRDefault="007867CB" w:rsidP="007867CB">
      <w:pPr>
        <w:ind w:left="567" w:hanging="567"/>
        <w:jc w:val="both"/>
        <w:rPr>
          <w:color w:val="000000"/>
          <w:sz w:val="22"/>
          <w:szCs w:val="22"/>
        </w:rPr>
      </w:pPr>
      <w:r w:rsidRPr="007867CB">
        <w:rPr>
          <w:color w:val="000000"/>
          <w:sz w:val="22"/>
          <w:szCs w:val="22"/>
        </w:rPr>
        <w:lastRenderedPageBreak/>
        <w:t xml:space="preserve">Venkatesh, V., Morris, M. G., Davis, G. B., &amp; Davis, F. D. (2003). User acceptance of information technology: Toward a unified view. MIS Quarterly, 27(3), 425–478. </w:t>
      </w:r>
      <w:hyperlink r:id="rId30" w:history="1">
        <w:r w:rsidRPr="00495303">
          <w:rPr>
            <w:rStyle w:val="Hyperlink"/>
            <w:sz w:val="22"/>
            <w:szCs w:val="22"/>
          </w:rPr>
          <w:t>https://doi.org/10.2307/30036540</w:t>
        </w:r>
      </w:hyperlink>
      <w:r>
        <w:rPr>
          <w:color w:val="000000"/>
          <w:sz w:val="22"/>
          <w:szCs w:val="22"/>
        </w:rPr>
        <w:t xml:space="preserve"> </w:t>
      </w:r>
    </w:p>
    <w:p w14:paraId="41AF91CF" w14:textId="77777777" w:rsidR="00AA3EC0" w:rsidRDefault="00AA3EC0">
      <w:pPr>
        <w:jc w:val="both"/>
        <w:rPr>
          <w:color w:val="000000"/>
          <w:sz w:val="18"/>
          <w:szCs w:val="18"/>
        </w:rPr>
      </w:pPr>
    </w:p>
    <w:sectPr w:rsidR="00AA3EC0" w:rsidSect="00293F22">
      <w:headerReference w:type="even" r:id="rId31"/>
      <w:headerReference w:type="default" r:id="rId32"/>
      <w:footerReference w:type="even" r:id="rId33"/>
      <w:footerReference w:type="default" r:id="rId34"/>
      <w:headerReference w:type="first" r:id="rId35"/>
      <w:footerReference w:type="first" r:id="rId36"/>
      <w:pgSz w:w="11907" w:h="16840"/>
      <w:pgMar w:top="1418" w:right="1418" w:bottom="1418" w:left="1701" w:header="1134" w:footer="1134" w:gutter="0"/>
      <w:pgNumType w:start="4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47F8C" w14:textId="77777777" w:rsidR="00D9299E" w:rsidRDefault="00D9299E">
      <w:r>
        <w:separator/>
      </w:r>
    </w:p>
  </w:endnote>
  <w:endnote w:type="continuationSeparator" w:id="0">
    <w:p w14:paraId="0C7C1549" w14:textId="77777777" w:rsidR="00D9299E" w:rsidRDefault="00D92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79EFD26-8BB1-BA47-A534-2751E3AA9363}"/>
    <w:embedBold r:id="rId2" w:fontKey="{724569BB-5F3D-614F-BEBD-B9BAA8A13FC5}"/>
    <w:embedItalic r:id="rId3" w:fontKey="{3C32037C-1D77-6142-9880-B086F0D389E5}"/>
    <w:embedBoldItalic r:id="rId4" w:fontKey="{FE4A4A1E-6D57-2C4C-8A38-0E6DF5069463}"/>
  </w:font>
  <w:font w:name="DengXian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embedRegular r:id="rId5" w:fontKey="{85CBDCBB-65A5-C146-95E7-C41E7C1B0F58}"/>
  </w:font>
  <w:font w:name="Wingdings">
    <w:panose1 w:val="05000000000000000000"/>
    <w:charset w:val="4D"/>
    <w:family w:val="decorative"/>
    <w:pitch w:val="variable"/>
    <w:sig w:usb0="00000003" w:usb1="00000000" w:usb2="00000000" w:usb3="00000000" w:csb0="80000001" w:csb1="00000000"/>
    <w:embedRegular r:id="rId6" w:fontKey="{848AA502-A153-C743-8B47-CC146654C2C3}"/>
  </w:font>
  <w:font w:name="Noto Sans Symbols">
    <w:panose1 w:val="020B0604020202020204"/>
    <w:charset w:val="00"/>
    <w:family w:val="auto"/>
    <w:pitch w:val="default"/>
    <w:embedRegular r:id="rId7" w:fontKey="{4971E0DE-AF24-1947-8438-378A38BDCA05}"/>
  </w:font>
  <w:font w:name="Arial">
    <w:panose1 w:val="020B0604020202020204"/>
    <w:charset w:val="00"/>
    <w:family w:val="swiss"/>
    <w:pitch w:val="variable"/>
    <w:sig w:usb0="E0002AFF" w:usb1="C0007843" w:usb2="00000009" w:usb3="00000000" w:csb0="000001FF" w:csb1="00000000"/>
    <w:embedRegular r:id="rId8" w:fontKey="{4BA35717-F410-CB44-9E9D-61769CAC2E06}"/>
    <w:embedBold r:id="rId9" w:fontKey="{87B0CB33-ED71-9545-969C-4B3F710578FE}"/>
    <w:embedItalic r:id="rId10" w:fontKey="{2EDD485F-9195-5F42-B514-B46D10D2CCCF}"/>
    <w:embedBoldItalic r:id="rId11" w:fontKey="{4B1681AD-7A97-DA42-8632-34C43E97CCAB}"/>
  </w:font>
  <w:font w:name="Tahoma">
    <w:panose1 w:val="020B0604030504040204"/>
    <w:charset w:val="00"/>
    <w:family w:val="swiss"/>
    <w:pitch w:val="variable"/>
    <w:sig w:usb0="E1002EFF" w:usb1="C000605B" w:usb2="00000029" w:usb3="00000000" w:csb0="000101FF" w:csb1="00000000"/>
    <w:embedRegular r:id="rId12" w:fontKey="{9467385F-499D-0A43-BA21-A785625C5485}"/>
  </w:font>
  <w:font w:name="Traditional Arabic">
    <w:panose1 w:val="02020603050405020304"/>
    <w:charset w:val="B2"/>
    <w:family w:val="roman"/>
    <w:pitch w:val="variable"/>
    <w:sig w:usb0="00002003" w:usb1="80000000" w:usb2="00000008" w:usb3="00000000" w:csb0="00000041" w:csb1="00000000"/>
    <w:embedRegular r:id="rId13" w:fontKey="{99AC9FB5-B7EE-7443-BC6D-8557C5CB5B7D}"/>
  </w:font>
  <w:font w:name="Palatino">
    <w:panose1 w:val="00000000000000000000"/>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embedRegular r:id="rId15" w:fontKey="{BC0864D3-87B6-134A-8AE2-870F551E1196}"/>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6" w:fontKey="{E55DED7D-D068-FE48-BFB6-9705A87B5CFE}"/>
  </w:font>
  <w:font w:name="Palatino Linotype">
    <w:panose1 w:val="02040502050505030304"/>
    <w:charset w:val="00"/>
    <w:family w:val="roman"/>
    <w:pitch w:val="variable"/>
    <w:sig w:usb0="E0000287" w:usb1="40000013" w:usb2="00000000" w:usb3="00000000" w:csb0="0000019F" w:csb1="00000000"/>
    <w:embedRegular r:id="rId17" w:fontKey="{4D4F9DC8-84DC-2843-B8B5-8CBC6868E9AE}"/>
    <w:embedItalic r:id="rId18" w:fontKey="{5B13D734-D452-5249-AB57-A262A488FEB3}"/>
    <w:embedBoldItalic r:id="rId19" w:fontKey="{A6FB3016-914A-B747-BC72-9F938F6D14BE}"/>
  </w:font>
  <w:font w:name="Georgia">
    <w:panose1 w:val="02040502050405020303"/>
    <w:charset w:val="00"/>
    <w:family w:val="roman"/>
    <w:pitch w:val="variable"/>
    <w:sig w:usb0="00000287" w:usb1="00000000" w:usb2="00000000" w:usb3="00000000" w:csb0="0000009F" w:csb1="00000000"/>
    <w:embedBoldItalic r:id="rId20" w:fontKey="{534DF409-9F9E-B542-941A-21F0F0388860}"/>
  </w:font>
  <w:font w:name="Aptos">
    <w:panose1 w:val="020B0004020202020204"/>
    <w:charset w:val="00"/>
    <w:family w:val="swiss"/>
    <w:pitch w:val="variable"/>
    <w:sig w:usb0="20000287" w:usb1="00000003" w:usb2="00000000" w:usb3="00000000" w:csb0="0000019F" w:csb1="00000000"/>
    <w:embedRegular r:id="rId21" w:fontKey="{1195D18E-6BAD-1342-AAB6-884ED4B79CD9}"/>
    <w:embedItalic r:id="rId22" w:fontKey="{8F8E29A7-7878-6F49-AEC6-076FF7BB8407}"/>
  </w:font>
  <w:font w:name="Cambria">
    <w:altName w:val="HarmonyOS Sans SC Light"/>
    <w:panose1 w:val="02040503050406030204"/>
    <w:charset w:val="00"/>
    <w:family w:val="roman"/>
    <w:pitch w:val="variable"/>
    <w:sig w:usb0="E00006FF" w:usb1="420024FF" w:usb2="02000000" w:usb3="00000000" w:csb0="0000019F" w:csb1="00000000"/>
    <w:embedRegular r:id="rId23" w:fontKey="{B1BFBE3C-5651-6E4E-99A3-630C6922560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BC5E1" w14:textId="78815BC4" w:rsidR="00AA3EC0" w:rsidRDefault="00000000">
    <w:pPr>
      <w:pBdr>
        <w:top w:val="nil"/>
        <w:left w:val="nil"/>
        <w:bottom w:val="nil"/>
        <w:right w:val="nil"/>
        <w:between w:val="nil"/>
      </w:pBdr>
      <w:tabs>
        <w:tab w:val="left" w:pos="2992"/>
      </w:tabs>
      <w:spacing w:before="240"/>
      <w:rPr>
        <w:i/>
        <w:color w:val="000000"/>
      </w:rPr>
    </w:pPr>
    <w:r>
      <w:rPr>
        <w:i/>
        <w:color w:val="000000"/>
      </w:rPr>
      <w:t xml:space="preserve">LITERA: </w:t>
    </w:r>
    <w:proofErr w:type="spellStart"/>
    <w:r>
      <w:rPr>
        <w:i/>
        <w:color w:val="000000"/>
      </w:rPr>
      <w:t>Jurnal</w:t>
    </w:r>
    <w:proofErr w:type="spellEnd"/>
    <w:r>
      <w:rPr>
        <w:i/>
        <w:color w:val="000000"/>
      </w:rPr>
      <w:t xml:space="preserve"> Bahasa dan Sastra. Vol.</w:t>
    </w:r>
    <w:r w:rsidR="00293F22">
      <w:rPr>
        <w:i/>
        <w:color w:val="000000"/>
      </w:rPr>
      <w:t>12</w:t>
    </w:r>
    <w:r>
      <w:rPr>
        <w:i/>
        <w:color w:val="000000"/>
      </w:rPr>
      <w:t>, No.</w:t>
    </w:r>
    <w:r w:rsidR="00293F22">
      <w:rPr>
        <w:i/>
        <w:color w:val="000000"/>
      </w:rPr>
      <w:t>2</w:t>
    </w:r>
    <w:r>
      <w:rPr>
        <w:i/>
        <w:color w:val="000000"/>
      </w:rPr>
      <w:t xml:space="preserve">, </w:t>
    </w:r>
    <w:r w:rsidR="00293F22">
      <w:rPr>
        <w:i/>
        <w:color w:val="000000"/>
      </w:rPr>
      <w:t>July</w:t>
    </w:r>
    <w:r>
      <w:rPr>
        <w:i/>
        <w:color w:val="000000"/>
      </w:rPr>
      <w:t xml:space="preserve"> 202</w:t>
    </w:r>
    <w:r w:rsidR="00293F22">
      <w:rPr>
        <w:i/>
        <w:color w:val="000000"/>
      </w:rPr>
      <w:t>6</w:t>
    </w:r>
    <w:r>
      <w:rPr>
        <w:i/>
        <w:color w:val="000000"/>
      </w:rPr>
      <w:t xml:space="preserve">:  </w:t>
    </w:r>
    <w:r w:rsidR="00293F22">
      <w:rPr>
        <w:i/>
        <w:color w:val="000000"/>
      </w:rPr>
      <w:t>46</w:t>
    </w:r>
    <w:r>
      <w:rPr>
        <w:i/>
        <w:color w:val="000000"/>
      </w:rPr>
      <w:t xml:space="preserve"> - </w:t>
    </w:r>
    <w:r>
      <w:rPr>
        <w:noProof/>
      </w:rPr>
      <mc:AlternateContent>
        <mc:Choice Requires="wpg">
          <w:drawing>
            <wp:anchor distT="0" distB="0" distL="114300" distR="114300" simplePos="0" relativeHeight="251660288" behindDoc="0" locked="0" layoutInCell="1" hidden="0" allowOverlap="1" wp14:anchorId="3DF58BC0" wp14:editId="0FFF1CA5">
              <wp:simplePos x="0" y="0"/>
              <wp:positionH relativeFrom="column">
                <wp:posOffset>1</wp:posOffset>
              </wp:positionH>
              <wp:positionV relativeFrom="paragraph">
                <wp:posOffset>114300</wp:posOffset>
              </wp:positionV>
              <wp:extent cx="5589905" cy="22225"/>
              <wp:effectExtent l="0" t="0" r="0" b="0"/>
              <wp:wrapNone/>
              <wp:docPr id="516012634" name="Straight Arrow Connector 516012634"/>
              <wp:cNvGraphicFramePr/>
              <a:graphic xmlns:a="http://schemas.openxmlformats.org/drawingml/2006/main">
                <a:graphicData uri="http://schemas.microsoft.com/office/word/2010/wordprocessingShape">
                  <wps:wsp>
                    <wps:cNvCnPr/>
                    <wps:spPr>
                      <a:xfrm>
                        <a:off x="2555810" y="3780000"/>
                        <a:ext cx="558038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wp:posOffset>
              </wp:positionH>
              <wp:positionV relativeFrom="paragraph">
                <wp:posOffset>114300</wp:posOffset>
              </wp:positionV>
              <wp:extent cx="5589905" cy="22225"/>
              <wp:effectExtent b="0" l="0" r="0" t="0"/>
              <wp:wrapNone/>
              <wp:docPr id="516012634"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589905" cy="22225"/>
                      </a:xfrm>
                      <a:prstGeom prst="rect"/>
                      <a:ln/>
                    </pic:spPr>
                  </pic:pic>
                </a:graphicData>
              </a:graphic>
            </wp:anchor>
          </w:drawing>
        </mc:Fallback>
      </mc:AlternateContent>
    </w:r>
    <w:r w:rsidR="00293F22">
      <w:rPr>
        <w:i/>
        <w:color w:val="000000"/>
      </w:rPr>
      <w:t>53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08B2" w14:textId="5E7C9562" w:rsidR="00AA3EC0" w:rsidRDefault="00293F22">
    <w:pPr>
      <w:pBdr>
        <w:top w:val="single" w:sz="4" w:space="1" w:color="000000"/>
        <w:left w:val="nil"/>
        <w:bottom w:val="nil"/>
        <w:right w:val="nil"/>
        <w:between w:val="nil"/>
      </w:pBdr>
      <w:tabs>
        <w:tab w:val="center" w:pos="4320"/>
        <w:tab w:val="right" w:pos="8640"/>
      </w:tabs>
      <w:jc w:val="right"/>
      <w:rPr>
        <w:i/>
        <w:color w:val="000000"/>
      </w:rPr>
    </w:pPr>
    <w:r w:rsidRPr="00293F22">
      <w:rPr>
        <w:i/>
        <w:iCs/>
      </w:rPr>
      <w:t>The Implementation of Mobile Learning Marketing in the Teaching of Introduction to Business in Higher Education</w:t>
    </w:r>
    <w:r>
      <w:rPr>
        <w:i/>
        <w:color w:val="000000"/>
      </w:rPr>
      <w:t xml:space="preserve"> (</w:t>
    </w:r>
    <w:proofErr w:type="spellStart"/>
    <w:r w:rsidRPr="00ED6FF6">
      <w:rPr>
        <w:lang w:val="en-ID"/>
      </w:rPr>
      <w:t>Ninik</w:t>
    </w:r>
    <w:proofErr w:type="spellEnd"/>
    <w:r w:rsidRPr="00ED6FF6">
      <w:rPr>
        <w:lang w:val="en-ID"/>
      </w:rPr>
      <w:t xml:space="preserve"> </w:t>
    </w:r>
    <w:proofErr w:type="spellStart"/>
    <w:r w:rsidRPr="00ED6FF6">
      <w:rPr>
        <w:lang w:val="en-ID"/>
      </w:rPr>
      <w:t>Sudarwati</w:t>
    </w:r>
    <w:proofErr w:type="spellEnd"/>
    <w:r>
      <w:rPr>
        <w:i/>
        <w:color w:val="00000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0C225" w14:textId="3C9B5E5F" w:rsidR="00AA3EC0" w:rsidRDefault="00000000">
    <w:pPr>
      <w:pBdr>
        <w:top w:val="single" w:sz="4" w:space="1" w:color="000000"/>
        <w:left w:val="nil"/>
        <w:bottom w:val="nil"/>
        <w:right w:val="nil"/>
        <w:between w:val="nil"/>
      </w:pBdr>
      <w:tabs>
        <w:tab w:val="center" w:pos="4320"/>
        <w:tab w:val="right" w:pos="8640"/>
      </w:tabs>
      <w:spacing w:before="240"/>
      <w:rPr>
        <w:i/>
        <w:color w:val="000000"/>
      </w:rPr>
    </w:pPr>
    <w:r>
      <w:rPr>
        <w:b/>
        <w:i/>
        <w:color w:val="000000"/>
      </w:rPr>
      <w:t>Journal homepage</w:t>
    </w:r>
    <w:r>
      <w:rPr>
        <w:i/>
        <w:color w:val="000000"/>
      </w:rPr>
      <w:t xml:space="preserve">: </w:t>
    </w:r>
    <w:hyperlink r:id="rId1" w:history="1">
      <w:r w:rsidR="00293F22" w:rsidRPr="00495303">
        <w:rPr>
          <w:rStyle w:val="Hyperlink"/>
          <w:i/>
        </w:rPr>
        <w:t>https://jurnal.undhirabali.ac.id/index.php/litera</w:t>
      </w:r>
    </w:hyperlink>
    <w:r w:rsidR="00293F22">
      <w:rPr>
        <w:i/>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A70B6" w14:textId="77777777" w:rsidR="00D9299E" w:rsidRDefault="00D9299E">
      <w:r>
        <w:separator/>
      </w:r>
    </w:p>
  </w:footnote>
  <w:footnote w:type="continuationSeparator" w:id="0">
    <w:p w14:paraId="1CED33EB" w14:textId="77777777" w:rsidR="00D9299E" w:rsidRDefault="00D929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B2710" w14:textId="1612FBB6" w:rsidR="00AA3EC0" w:rsidRDefault="00000000">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separate"/>
    </w:r>
    <w:r w:rsidR="00DB0F11">
      <w:rPr>
        <w:noProof/>
        <w:color w:val="000000"/>
      </w:rPr>
      <w:t>2</w:t>
    </w:r>
    <w:r>
      <w:rPr>
        <w:color w:val="000000"/>
      </w:rPr>
      <w:fldChar w:fldCharType="end"/>
    </w:r>
  </w:p>
  <w:p w14:paraId="33863DB2" w14:textId="77777777" w:rsidR="00AA3EC0" w:rsidRDefault="00000000">
    <w:pPr>
      <w:pBdr>
        <w:top w:val="nil"/>
        <w:left w:val="nil"/>
        <w:bottom w:val="nil"/>
        <w:right w:val="nil"/>
        <w:between w:val="nil"/>
      </w:pBdr>
      <w:tabs>
        <w:tab w:val="right" w:pos="851"/>
        <w:tab w:val="left" w:pos="3405"/>
        <w:tab w:val="right" w:pos="8789"/>
      </w:tabs>
      <w:spacing w:after="240"/>
      <w:rPr>
        <w:color w:val="000000"/>
      </w:rPr>
    </w:pPr>
    <w:r>
      <w:rPr>
        <w:color w:val="000000"/>
      </w:rPr>
      <w:t xml:space="preserve">  </w:t>
    </w:r>
    <w:r>
      <w:rPr>
        <w:color w:val="000000"/>
      </w:rPr>
      <w:tab/>
    </w:r>
    <w:r>
      <w:rPr>
        <w:rFonts w:ascii="Noto Sans Symbols" w:eastAsia="Noto Sans Symbols" w:hAnsi="Noto Sans Symbols" w:cs="Noto Sans Symbols"/>
        <w:color w:val="000000"/>
      </w:rPr>
      <w:t>❒</w:t>
    </w:r>
    <w:r>
      <w:rPr>
        <w:color w:val="000000"/>
      </w:rPr>
      <w:t xml:space="preserve"> </w:t>
    </w:r>
    <w:r>
      <w:rPr>
        <w:color w:val="000000"/>
      </w:rPr>
      <w:tab/>
    </w:r>
    <w:r>
      <w:rPr>
        <w:color w:val="000000"/>
      </w:rPr>
      <w:tab/>
      <w:t xml:space="preserve">       E-ISSN: 2548-7639</w:t>
    </w:r>
    <w:r>
      <w:rPr>
        <w:noProof/>
      </w:rPr>
      <mc:AlternateContent>
        <mc:Choice Requires="wpg">
          <w:drawing>
            <wp:anchor distT="0" distB="0" distL="114300" distR="114300" simplePos="0" relativeHeight="251659264" behindDoc="0" locked="0" layoutInCell="1" hidden="0" allowOverlap="1" wp14:anchorId="5715B2FE" wp14:editId="76809588">
              <wp:simplePos x="0" y="0"/>
              <wp:positionH relativeFrom="column">
                <wp:posOffset>25401</wp:posOffset>
              </wp:positionH>
              <wp:positionV relativeFrom="paragraph">
                <wp:posOffset>152400</wp:posOffset>
              </wp:positionV>
              <wp:extent cx="5557520" cy="25400"/>
              <wp:effectExtent l="0" t="0" r="0" b="0"/>
              <wp:wrapNone/>
              <wp:docPr id="516012632" name="Straight Arrow Connector 516012632"/>
              <wp:cNvGraphicFramePr/>
              <a:graphic xmlns:a="http://schemas.openxmlformats.org/drawingml/2006/main">
                <a:graphicData uri="http://schemas.microsoft.com/office/word/2010/wordprocessingShape">
                  <wps:wsp>
                    <wps:cNvCnPr/>
                    <wps:spPr>
                      <a:xfrm>
                        <a:off x="2573590" y="3780000"/>
                        <a:ext cx="554482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25401</wp:posOffset>
              </wp:positionH>
              <wp:positionV relativeFrom="paragraph">
                <wp:posOffset>152400</wp:posOffset>
              </wp:positionV>
              <wp:extent cx="5557520" cy="25400"/>
              <wp:effectExtent b="0" l="0" r="0" t="0"/>
              <wp:wrapNone/>
              <wp:docPr id="51601263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557520" cy="254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C6698" w14:textId="714F3DB8" w:rsidR="00AA3EC0" w:rsidRDefault="00000000">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separate"/>
    </w:r>
    <w:r w:rsidR="00DB0F11">
      <w:rPr>
        <w:noProof/>
        <w:color w:val="000000"/>
      </w:rPr>
      <w:t>3</w:t>
    </w:r>
    <w:r>
      <w:rPr>
        <w:color w:val="000000"/>
      </w:rPr>
      <w:fldChar w:fldCharType="end"/>
    </w:r>
  </w:p>
  <w:p w14:paraId="5BE8CF33" w14:textId="77777777" w:rsidR="00AA3EC0" w:rsidRDefault="00000000">
    <w:pPr>
      <w:pBdr>
        <w:top w:val="nil"/>
        <w:left w:val="nil"/>
        <w:bottom w:val="single" w:sz="4" w:space="1" w:color="000000"/>
        <w:right w:val="nil"/>
        <w:between w:val="nil"/>
      </w:pBdr>
      <w:tabs>
        <w:tab w:val="left" w:pos="0"/>
        <w:tab w:val="center" w:pos="4301"/>
        <w:tab w:val="left" w:pos="7938"/>
      </w:tabs>
      <w:rPr>
        <w:color w:val="000000"/>
      </w:rPr>
    </w:pPr>
    <w:r>
      <w:rPr>
        <w:i/>
        <w:color w:val="000000"/>
      </w:rPr>
      <w:t xml:space="preserve">LITERA: </w:t>
    </w:r>
    <w:proofErr w:type="spellStart"/>
    <w:r>
      <w:rPr>
        <w:i/>
        <w:color w:val="000000"/>
      </w:rPr>
      <w:t>Jurnal</w:t>
    </w:r>
    <w:proofErr w:type="spellEnd"/>
    <w:r>
      <w:rPr>
        <w:i/>
        <w:color w:val="000000"/>
      </w:rPr>
      <w:t xml:space="preserve"> Bahasa dan Sastra</w:t>
    </w:r>
    <w:r>
      <w:rPr>
        <w:color w:val="000000"/>
      </w:rPr>
      <w:t xml:space="preserve"> </w:t>
    </w:r>
    <w:r>
      <w:rPr>
        <w:color w:val="000000"/>
      </w:rPr>
      <w:tab/>
      <w:t>E-ISSN: 2548-7639</w:t>
    </w:r>
    <w:r>
      <w:rPr>
        <w:color w:val="000000"/>
      </w:rPr>
      <w:tab/>
    </w:r>
    <w:r>
      <w:rPr>
        <w:rFonts w:ascii="Noto Sans Symbols" w:eastAsia="Noto Sans Symbols" w:hAnsi="Noto Sans Symbols" w:cs="Noto Sans Symbols"/>
        <w:color w:val="000000"/>
      </w:rPr>
      <w:t>❒</w:t>
    </w:r>
    <w:r>
      <w:rPr>
        <w:rFonts w:ascii="Noto Sans Symbols" w:eastAsia="Noto Sans Symbols" w:hAnsi="Noto Sans Symbols" w:cs="Noto Sans Symbols"/>
        <w:color w:val="000000"/>
      </w:rPr>
      <w:tab/>
    </w:r>
  </w:p>
  <w:p w14:paraId="0D61CCA5" w14:textId="77777777" w:rsidR="00AA3EC0" w:rsidRDefault="00AA3EC0">
    <w:pPr>
      <w:pBdr>
        <w:top w:val="nil"/>
        <w:left w:val="nil"/>
        <w:bottom w:val="nil"/>
        <w:right w:val="nil"/>
        <w:between w:val="nil"/>
      </w:pBdr>
      <w:tabs>
        <w:tab w:val="center" w:pos="4320"/>
        <w:tab w:val="right" w:pos="8640"/>
      </w:tabs>
      <w:ind w:right="360" w:firstLine="36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3ACBD" w14:textId="77777777" w:rsidR="00AA3EC0" w:rsidRDefault="00000000">
    <w:pPr>
      <w:pBdr>
        <w:top w:val="nil"/>
        <w:left w:val="nil"/>
        <w:bottom w:val="nil"/>
        <w:right w:val="nil"/>
        <w:between w:val="nil"/>
      </w:pBdr>
      <w:tabs>
        <w:tab w:val="center" w:pos="4320"/>
        <w:tab w:val="right" w:pos="8640"/>
      </w:tabs>
      <w:ind w:right="45"/>
      <w:rPr>
        <w:b/>
        <w:color w:val="000000"/>
      </w:rPr>
    </w:pPr>
    <w:r>
      <w:rPr>
        <w:b/>
        <w:color w:val="000000"/>
      </w:rPr>
      <w:t xml:space="preserve">LITERA: </w:t>
    </w:r>
    <w:proofErr w:type="spellStart"/>
    <w:r>
      <w:rPr>
        <w:b/>
        <w:color w:val="000000"/>
      </w:rPr>
      <w:t>Jurnal</w:t>
    </w:r>
    <w:proofErr w:type="spellEnd"/>
    <w:r>
      <w:rPr>
        <w:b/>
        <w:color w:val="000000"/>
      </w:rPr>
      <w:t xml:space="preserve"> Bahasa dan Sastra</w:t>
    </w:r>
  </w:p>
  <w:p w14:paraId="19E6C3B3" w14:textId="7D9EBC22" w:rsidR="00AA3EC0" w:rsidRDefault="00000000">
    <w:pPr>
      <w:pBdr>
        <w:top w:val="nil"/>
        <w:left w:val="nil"/>
        <w:bottom w:val="nil"/>
        <w:right w:val="nil"/>
        <w:between w:val="nil"/>
      </w:pBdr>
      <w:tabs>
        <w:tab w:val="center" w:pos="4320"/>
        <w:tab w:val="right" w:pos="8640"/>
      </w:tabs>
      <w:ind w:right="45"/>
      <w:rPr>
        <w:color w:val="000000"/>
      </w:rPr>
    </w:pPr>
    <w:r>
      <w:rPr>
        <w:color w:val="000000"/>
      </w:rPr>
      <w:t xml:space="preserve">Vol. </w:t>
    </w:r>
    <w:r w:rsidR="00293F22">
      <w:rPr>
        <w:color w:val="000000"/>
      </w:rPr>
      <w:t>12</w:t>
    </w:r>
    <w:r>
      <w:rPr>
        <w:color w:val="000000"/>
      </w:rPr>
      <w:t xml:space="preserve">, No. </w:t>
    </w:r>
    <w:r w:rsidR="00293F22">
      <w:rPr>
        <w:color w:val="000000"/>
      </w:rPr>
      <w:t>2</w:t>
    </w:r>
    <w:r>
      <w:rPr>
        <w:color w:val="000000"/>
      </w:rPr>
      <w:t xml:space="preserve">, </w:t>
    </w:r>
    <w:r w:rsidR="00293F22">
      <w:rPr>
        <w:color w:val="000000"/>
      </w:rPr>
      <w:t>July</w:t>
    </w:r>
    <w:r>
      <w:rPr>
        <w:color w:val="000000"/>
      </w:rPr>
      <w:t xml:space="preserve"> 202</w:t>
    </w:r>
    <w:r w:rsidR="00293F22">
      <w:rPr>
        <w:color w:val="000000"/>
      </w:rPr>
      <w:t>6</w:t>
    </w:r>
    <w:r>
      <w:rPr>
        <w:color w:val="000000"/>
      </w:rPr>
      <w:t xml:space="preserve">, pp. </w:t>
    </w:r>
    <w:r w:rsidR="00293F22">
      <w:rPr>
        <w:color w:val="000000"/>
      </w:rPr>
      <w:t>46</w:t>
    </w:r>
    <w:r>
      <w:rPr>
        <w:color w:val="000000"/>
      </w:rPr>
      <w:t>~</w:t>
    </w:r>
    <w:r w:rsidR="00293F22">
      <w:rPr>
        <w:color w:val="000000"/>
      </w:rPr>
      <w:t>53</w:t>
    </w:r>
  </w:p>
  <w:p w14:paraId="44EE793A" w14:textId="77777777" w:rsidR="00AA3EC0" w:rsidRDefault="00000000">
    <w:pPr>
      <w:pBdr>
        <w:top w:val="nil"/>
        <w:left w:val="nil"/>
        <w:bottom w:val="nil"/>
        <w:right w:val="nil"/>
        <w:between w:val="nil"/>
      </w:pBdr>
      <w:tabs>
        <w:tab w:val="left" w:pos="7938"/>
        <w:tab w:val="right" w:pos="8789"/>
      </w:tabs>
      <w:rPr>
        <w:color w:val="000000"/>
      </w:rPr>
    </w:pPr>
    <w:r>
      <w:rPr>
        <w:color w:val="000000"/>
      </w:rPr>
      <w:t>E-ISSN: 2548-7639</w:t>
    </w:r>
    <w:r>
      <w:rPr>
        <w:color w:val="000000"/>
      </w:rPr>
      <w:tab/>
    </w:r>
    <w:r>
      <w:rPr>
        <w:rFonts w:ascii="Noto Sans Symbols" w:eastAsia="Noto Sans Symbols" w:hAnsi="Noto Sans Symbols" w:cs="Noto Sans Symbols"/>
        <w:color w:val="000000"/>
      </w:rPr>
      <w:t>❒</w:t>
    </w:r>
    <w:r>
      <w:rPr>
        <w:color w:val="000000"/>
      </w:rPr>
      <w:t xml:space="preserve">    </w:t>
    </w:r>
    <w:r>
      <w:rPr>
        <w:color w:val="000000"/>
      </w:rPr>
      <w:tab/>
    </w:r>
    <w:r>
      <w:rPr>
        <w:color w:val="000000"/>
      </w:rPr>
      <w:fldChar w:fldCharType="begin"/>
    </w:r>
    <w:r>
      <w:rPr>
        <w:color w:val="000000"/>
      </w:rPr>
      <w:instrText>PAGE</w:instrText>
    </w:r>
    <w:r>
      <w:rPr>
        <w:color w:val="000000"/>
      </w:rPr>
      <w:fldChar w:fldCharType="separate"/>
    </w:r>
    <w:r w:rsidR="00DB0F11">
      <w:rPr>
        <w:noProof/>
        <w:color w:val="000000"/>
      </w:rPr>
      <w:t>1</w:t>
    </w:r>
    <w:r>
      <w:rPr>
        <w:color w:val="000000"/>
      </w:rPr>
      <w:fldChar w:fldCharType="end"/>
    </w:r>
  </w:p>
  <w:p w14:paraId="0BAD7FB0" w14:textId="77777777" w:rsidR="00AA3EC0" w:rsidRDefault="00000000">
    <w:pPr>
      <w:pBdr>
        <w:top w:val="nil"/>
        <w:left w:val="nil"/>
        <w:bottom w:val="nil"/>
        <w:right w:val="nil"/>
        <w:between w:val="nil"/>
      </w:pBdr>
      <w:tabs>
        <w:tab w:val="center" w:pos="4320"/>
        <w:tab w:val="right" w:pos="8640"/>
      </w:tabs>
      <w:ind w:right="45"/>
      <w:jc w:val="right"/>
      <w:rPr>
        <w:color w:val="000000"/>
      </w:rPr>
    </w:pPr>
    <w:r>
      <w:rPr>
        <w:color w:val="000000"/>
      </w:rPr>
      <w:tab/>
    </w:r>
    <w:r>
      <w:rPr>
        <w:noProof/>
      </w:rPr>
      <mc:AlternateContent>
        <mc:Choice Requires="wpg">
          <w:drawing>
            <wp:anchor distT="0" distB="0" distL="114300" distR="114300" simplePos="0" relativeHeight="251658240" behindDoc="0" locked="0" layoutInCell="1" hidden="0" allowOverlap="1" wp14:anchorId="48FA9BE4" wp14:editId="513B4B46">
              <wp:simplePos x="0" y="0"/>
              <wp:positionH relativeFrom="column">
                <wp:posOffset>12701</wp:posOffset>
              </wp:positionH>
              <wp:positionV relativeFrom="paragraph">
                <wp:posOffset>12700</wp:posOffset>
              </wp:positionV>
              <wp:extent cx="5614670" cy="25400"/>
              <wp:effectExtent l="0" t="0" r="0" b="0"/>
              <wp:wrapNone/>
              <wp:docPr id="516012633" name="Straight Arrow Connector 516012633"/>
              <wp:cNvGraphicFramePr/>
              <a:graphic xmlns:a="http://schemas.openxmlformats.org/drawingml/2006/main">
                <a:graphicData uri="http://schemas.microsoft.com/office/word/2010/wordprocessingShape">
                  <wps:wsp>
                    <wps:cNvCnPr/>
                    <wps:spPr>
                      <a:xfrm>
                        <a:off x="2545015" y="3780000"/>
                        <a:ext cx="560197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12701</wp:posOffset>
              </wp:positionH>
              <wp:positionV relativeFrom="paragraph">
                <wp:posOffset>12700</wp:posOffset>
              </wp:positionV>
              <wp:extent cx="5614670" cy="25400"/>
              <wp:effectExtent b="0" l="0" r="0" t="0"/>
              <wp:wrapNone/>
              <wp:docPr id="51601263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614670" cy="254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24B5"/>
    <w:multiLevelType w:val="multilevel"/>
    <w:tmpl w:val="658E784A"/>
    <w:lvl w:ilvl="0">
      <w:start w:val="1"/>
      <w:numFmt w:val="decimal"/>
      <w:lvlText w:val="%1."/>
      <w:lvlJc w:val="left"/>
      <w:pPr>
        <w:tabs>
          <w:tab w:val="num" w:pos="720"/>
        </w:tabs>
        <w:ind w:left="720" w:hanging="360"/>
      </w:pPr>
      <w:rPr>
        <w:rFonts w:ascii="Times New Roman" w:eastAsia="DengXian Light"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B47B7"/>
    <w:multiLevelType w:val="hybridMultilevel"/>
    <w:tmpl w:val="FB2C50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413906"/>
    <w:multiLevelType w:val="hybridMultilevel"/>
    <w:tmpl w:val="E3FCBA68"/>
    <w:lvl w:ilvl="0" w:tplc="AF340294">
      <w:start w:val="1"/>
      <w:numFmt w:val="lowerLetter"/>
      <w:lvlText w:val="%1."/>
      <w:lvlJc w:val="left"/>
      <w:pPr>
        <w:ind w:left="720" w:hanging="360"/>
      </w:pPr>
      <w:rPr>
        <w:rFonts w:ascii="Times New Roman" w:eastAsia="Times New Roman" w:hAnsi="Times New Roman" w:cs="Times New Roman" w:hint="default"/>
        <w:b w:val="0"/>
        <w:bCs w:val="0"/>
        <w:i w:val="0"/>
        <w:iCs w:val="0"/>
        <w:spacing w:val="-1"/>
        <w:w w:val="98"/>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501BE5"/>
    <w:multiLevelType w:val="multilevel"/>
    <w:tmpl w:val="828251D2"/>
    <w:lvl w:ilvl="0">
      <w:start w:val="1"/>
      <w:numFmt w:val="decimal"/>
      <w:lvlText w:val="%1."/>
      <w:lvlJc w:val="left"/>
      <w:pPr>
        <w:tabs>
          <w:tab w:val="num" w:pos="720"/>
        </w:tabs>
        <w:ind w:left="720" w:hanging="360"/>
      </w:pPr>
      <w:rPr>
        <w:rFonts w:ascii="Times New Roman" w:eastAsia="DengXian Light"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5B6D1A"/>
    <w:multiLevelType w:val="hybridMultilevel"/>
    <w:tmpl w:val="850EFE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7016A9"/>
    <w:multiLevelType w:val="multilevel"/>
    <w:tmpl w:val="22D83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E11073"/>
    <w:multiLevelType w:val="multilevel"/>
    <w:tmpl w:val="A226F7BE"/>
    <w:lvl w:ilvl="0">
      <w:start w:val="3"/>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1B3E4DAC"/>
    <w:multiLevelType w:val="hybridMultilevel"/>
    <w:tmpl w:val="FF38C7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C602C6"/>
    <w:multiLevelType w:val="multilevel"/>
    <w:tmpl w:val="118ED1A6"/>
    <w:lvl w:ilvl="0">
      <w:start w:val="1"/>
      <w:numFmt w:val="bullet"/>
      <w:pStyle w:val="references"/>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594C0B50"/>
    <w:multiLevelType w:val="multilevel"/>
    <w:tmpl w:val="64CE8FA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5C0D3565"/>
    <w:multiLevelType w:val="hybridMultilevel"/>
    <w:tmpl w:val="B7A6EA5E"/>
    <w:lvl w:ilvl="0" w:tplc="DA56C276">
      <w:start w:val="1"/>
      <w:numFmt w:val="upp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5C4061"/>
    <w:multiLevelType w:val="multilevel"/>
    <w:tmpl w:val="1CF68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F7379D"/>
    <w:multiLevelType w:val="hybridMultilevel"/>
    <w:tmpl w:val="76BC96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8B1DC0"/>
    <w:multiLevelType w:val="multilevel"/>
    <w:tmpl w:val="FEC68F82"/>
    <w:lvl w:ilvl="0">
      <w:start w:val="1"/>
      <w:numFmt w:val="decimal"/>
      <w:pStyle w:val="yange2"/>
      <w:lvlText w:val="%1."/>
      <w:lvlJc w:val="left"/>
      <w:pPr>
        <w:ind w:left="720" w:hanging="360"/>
      </w:pPr>
      <w:rPr>
        <w:rFonts w:ascii="Times New Roman" w:eastAsia="Times New Roman" w:hAnsi="Times New Roman" w:cs="Times New Roman"/>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85F1DE9"/>
    <w:multiLevelType w:val="hybridMultilevel"/>
    <w:tmpl w:val="4BE28D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D073C1E"/>
    <w:multiLevelType w:val="hybridMultilevel"/>
    <w:tmpl w:val="FD38D6F2"/>
    <w:lvl w:ilvl="0" w:tplc="04090019">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3898169">
    <w:abstractNumId w:val="13"/>
  </w:num>
  <w:num w:numId="2" w16cid:durableId="1791824438">
    <w:abstractNumId w:val="8"/>
  </w:num>
  <w:num w:numId="3" w16cid:durableId="1000230351">
    <w:abstractNumId w:val="6"/>
  </w:num>
  <w:num w:numId="4" w16cid:durableId="1669668538">
    <w:abstractNumId w:val="9"/>
  </w:num>
  <w:num w:numId="5" w16cid:durableId="1668557866">
    <w:abstractNumId w:val="14"/>
  </w:num>
  <w:num w:numId="6" w16cid:durableId="297078661">
    <w:abstractNumId w:val="7"/>
  </w:num>
  <w:num w:numId="7" w16cid:durableId="1579486135">
    <w:abstractNumId w:val="4"/>
  </w:num>
  <w:num w:numId="8" w16cid:durableId="1680697047">
    <w:abstractNumId w:val="10"/>
  </w:num>
  <w:num w:numId="9" w16cid:durableId="1529292526">
    <w:abstractNumId w:val="11"/>
  </w:num>
  <w:num w:numId="10" w16cid:durableId="643001318">
    <w:abstractNumId w:val="5"/>
  </w:num>
  <w:num w:numId="11" w16cid:durableId="484586889">
    <w:abstractNumId w:val="0"/>
  </w:num>
  <w:num w:numId="12" w16cid:durableId="218327811">
    <w:abstractNumId w:val="3"/>
  </w:num>
  <w:num w:numId="13" w16cid:durableId="302125723">
    <w:abstractNumId w:val="2"/>
  </w:num>
  <w:num w:numId="14" w16cid:durableId="673145017">
    <w:abstractNumId w:val="12"/>
  </w:num>
  <w:num w:numId="15" w16cid:durableId="1792166272">
    <w:abstractNumId w:val="1"/>
  </w:num>
  <w:num w:numId="16" w16cid:durableId="7115361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EC0"/>
    <w:rsid w:val="000A7584"/>
    <w:rsid w:val="001D660D"/>
    <w:rsid w:val="00293F22"/>
    <w:rsid w:val="002E6ED5"/>
    <w:rsid w:val="00375643"/>
    <w:rsid w:val="003C49E2"/>
    <w:rsid w:val="00427E6E"/>
    <w:rsid w:val="00543CF8"/>
    <w:rsid w:val="005B1500"/>
    <w:rsid w:val="00764063"/>
    <w:rsid w:val="007867CB"/>
    <w:rsid w:val="009837DB"/>
    <w:rsid w:val="009C1ED2"/>
    <w:rsid w:val="00AA3EC0"/>
    <w:rsid w:val="00B96D6A"/>
    <w:rsid w:val="00BC35BA"/>
    <w:rsid w:val="00D745E3"/>
    <w:rsid w:val="00D9299E"/>
    <w:rsid w:val="00DB0F1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52961"/>
  <w15:docId w15:val="{08E914BB-7EEE-554E-A69A-33A0BA9F0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uiPriority w:val="9"/>
    <w:qFormat/>
    <w:rsid w:val="00C15A56"/>
    <w:pPr>
      <w:keepNext/>
      <w:spacing w:line="480" w:lineRule="auto"/>
      <w:jc w:val="center"/>
      <w:outlineLvl w:val="0"/>
    </w:pPr>
    <w:rPr>
      <w:b/>
      <w:bCs/>
    </w:rPr>
  </w:style>
  <w:style w:type="paragraph" w:styleId="Heading2">
    <w:name w:val="heading 2"/>
    <w:basedOn w:val="Normal"/>
    <w:next w:val="Normal"/>
    <w:uiPriority w:val="9"/>
    <w:unhideWhenUsed/>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unhideWhenUsed/>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uiPriority w:val="9"/>
    <w:unhideWhenUsed/>
    <w:qFormat/>
    <w:rsid w:val="004710EE"/>
    <w:pPr>
      <w:keepNext/>
      <w:spacing w:before="240" w:after="60"/>
      <w:outlineLvl w:val="3"/>
    </w:pPr>
    <w:rPr>
      <w:b/>
      <w:bCs/>
      <w:sz w:val="28"/>
      <w:szCs w:val="28"/>
    </w:rPr>
  </w:style>
  <w:style w:type="paragraph" w:styleId="Heading5">
    <w:name w:val="heading 5"/>
    <w:basedOn w:val="Normal"/>
    <w:next w:val="Normal"/>
    <w:uiPriority w:val="9"/>
    <w:semiHidden/>
    <w:unhideWhenUsed/>
    <w:qFormat/>
    <w:rsid w:val="00DB3D8C"/>
    <w:pPr>
      <w:spacing w:before="240" w:after="60"/>
      <w:outlineLvl w:val="4"/>
    </w:pPr>
    <w:rPr>
      <w:b/>
      <w:bCs/>
      <w:i/>
      <w:iCs/>
      <w:sz w:val="26"/>
      <w:szCs w:val="26"/>
    </w:rPr>
  </w:style>
  <w:style w:type="paragraph" w:styleId="Heading6">
    <w:name w:val="heading 6"/>
    <w:basedOn w:val="Normal"/>
    <w:next w:val="Normal"/>
    <w:uiPriority w:val="9"/>
    <w:semiHidden/>
    <w:unhideWhenUsed/>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uiPriority w:val="10"/>
    <w:qFormat/>
    <w:rsid w:val="00F866B0"/>
    <w:pPr>
      <w:jc w:val="center"/>
    </w:pPr>
    <w:rPr>
      <w:b/>
      <w:bCs/>
      <w:sz w:val="28"/>
      <w:szCs w:val="24"/>
      <w:lang w:val="id-ID"/>
    </w:rPr>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next w:val="Normal"/>
    <w:uiPriority w:val="11"/>
    <w:qFormat/>
    <w:pPr>
      <w:jc w:val="center"/>
    </w:pPr>
    <w:rPr>
      <w:b/>
      <w:sz w:val="32"/>
      <w:szCs w:val="32"/>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tabs>
        <w:tab w:val="num" w:pos="720"/>
      </w:tabs>
      <w:spacing w:before="240" w:after="120" w:line="216" w:lineRule="auto"/>
      <w:ind w:left="720" w:hanging="720"/>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styleId="Bibliography">
    <w:name w:val="Bibliography"/>
    <w:basedOn w:val="Normal"/>
    <w:next w:val="Normal"/>
    <w:uiPriority w:val="37"/>
    <w:semiHidden/>
    <w:unhideWhenUsed/>
    <w:rsid w:val="00720C29"/>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F31FA4"/>
    <w:rPr>
      <w:color w:val="605E5C"/>
      <w:shd w:val="clear" w:color="auto" w:fill="E1DFDD"/>
    </w:rPr>
  </w:style>
  <w:style w:type="paragraph" w:customStyle="1" w:styleId="Alishlah22heading2">
    <w:name w:val="Alishlah_2.2_heading2"/>
    <w:basedOn w:val="Normal"/>
    <w:qFormat/>
    <w:rsid w:val="00CB7154"/>
    <w:pPr>
      <w:kinsoku w:val="0"/>
      <w:overflowPunct w:val="0"/>
      <w:autoSpaceDE w:val="0"/>
      <w:autoSpaceDN w:val="0"/>
      <w:adjustRightInd w:val="0"/>
      <w:snapToGrid w:val="0"/>
      <w:spacing w:before="240" w:after="120" w:line="260" w:lineRule="atLeast"/>
      <w:outlineLvl w:val="1"/>
    </w:pPr>
    <w:rPr>
      <w:rFonts w:ascii="Palatino Linotype" w:eastAsia="Georgia" w:hAnsi="Palatino Linotype"/>
      <w:b/>
      <w:bCs/>
      <w:i/>
      <w:noProof/>
      <w:snapToGrid w:val="0"/>
      <w:color w:val="000000"/>
      <w:szCs w:val="22"/>
      <w:lang w:eastAsia="de-DE" w:bidi="en-US"/>
    </w:rPr>
  </w:style>
  <w:style w:type="paragraph" w:customStyle="1" w:styleId="Alishlah71References">
    <w:name w:val="Alishlah_7.1_References"/>
    <w:basedOn w:val="Normal"/>
    <w:qFormat/>
    <w:rsid w:val="00CB7154"/>
    <w:pPr>
      <w:widowControl w:val="0"/>
      <w:autoSpaceDE w:val="0"/>
      <w:autoSpaceDN w:val="0"/>
      <w:adjustRightInd w:val="0"/>
      <w:spacing w:line="240" w:lineRule="atLeast"/>
      <w:ind w:left="480" w:hanging="480"/>
      <w:jc w:val="both"/>
    </w:pPr>
    <w:rPr>
      <w:rFonts w:ascii="Palatino Linotype" w:eastAsia="SimSun" w:hAnsi="Palatino Linotype"/>
      <w:noProof/>
      <w:lang w:val="en-ID"/>
    </w:r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1016/j.compedu.2018.04.007" TargetMode="External"/><Relationship Id="rId18" Type="http://schemas.openxmlformats.org/officeDocument/2006/relationships/hyperlink" Target="https://doi.org/10.1016/S1096-7516(00)00016-6" TargetMode="External"/><Relationship Id="rId26" Type="http://schemas.openxmlformats.org/officeDocument/2006/relationships/hyperlink" Target="https://doi.org/10.1016/j.compedu.2015.11.008" TargetMode="External"/><Relationship Id="rId21" Type="http://schemas.openxmlformats.org/officeDocument/2006/relationships/hyperlink" Target="https://doi.org/10.21432/T2QP4K"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oi.org/10.1177/1094670511411703" TargetMode="External"/><Relationship Id="rId17" Type="http://schemas.openxmlformats.org/officeDocument/2006/relationships/hyperlink" Target="https://doi.org/10.1145/2181037.2181040" TargetMode="External"/><Relationship Id="rId25" Type="http://schemas.openxmlformats.org/officeDocument/2006/relationships/hyperlink" Target="https://doi.org/10.1108/10748120110424816"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207/S15327965PLI1104_01" TargetMode="External"/><Relationship Id="rId20" Type="http://schemas.openxmlformats.org/officeDocument/2006/relationships/hyperlink" Target="https://doi.org/10.1016/j.iheduc.2013.06.002" TargetMode="External"/><Relationship Id="rId29" Type="http://schemas.openxmlformats.org/officeDocument/2006/relationships/hyperlink" Target="https://doi.org/10.1007/s11747-007-0069-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doi.org/10.1111/j.1467-9620.2006.00684.x"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2307/249008" TargetMode="External"/><Relationship Id="rId23" Type="http://schemas.openxmlformats.org/officeDocument/2006/relationships/hyperlink" Target="https://doi.org/10.4018/IJMBL.2017040101" TargetMode="External"/><Relationship Id="rId28" Type="http://schemas.openxmlformats.org/officeDocument/2006/relationships/hyperlink" Target="https://doi.org/10.4018/IJMBL.2018010101" TargetMode="External"/><Relationship Id="rId36" Type="http://schemas.openxmlformats.org/officeDocument/2006/relationships/footer" Target="footer3.xml"/><Relationship Id="rId10" Type="http://schemas.openxmlformats.org/officeDocument/2006/relationships/hyperlink" Target="https://creativecommons.org/licenses/by-nc-sa/4.0/" TargetMode="External"/><Relationship Id="rId19" Type="http://schemas.openxmlformats.org/officeDocument/2006/relationships/hyperlink" Target="https://doi.org/10.1016/j.iheduc.2013.06.002"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inik.stkipjb@gmail.com" TargetMode="External"/><Relationship Id="rId14" Type="http://schemas.openxmlformats.org/officeDocument/2006/relationships/hyperlink" Target="https://doi.org/10.1007/s11423-020-09841-6" TargetMode="External"/><Relationship Id="rId22" Type="http://schemas.openxmlformats.org/officeDocument/2006/relationships/hyperlink" Target="https://doi.org/10.3402/rlt.v20i0.14406" TargetMode="External"/><Relationship Id="rId27" Type="http://schemas.openxmlformats.org/officeDocument/2006/relationships/hyperlink" Target="https://doi.org/10.1016/0959-4752(94)90003-5" TargetMode="External"/><Relationship Id="rId30" Type="http://schemas.openxmlformats.org/officeDocument/2006/relationships/hyperlink" Target="https://doi.org/10.2307/30036540" TargetMode="External"/><Relationship Id="rId35" Type="http://schemas.openxmlformats.org/officeDocument/2006/relationships/header" Target="header3.xml"/><Relationship Id="rId8" Type="http://schemas.openxmlformats.org/officeDocument/2006/relationships/hyperlink" Target="mailto:ninik.stkipjb@gmail.com" TargetMode="Externa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hyperlink" Target="https://jurnal.undhirabali.ac.id/index.php/liter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b4UohQJPoULrLD/175O1MbgqLg==">CgMxLjAyCGguZ2pkZ3hzOAByITFYUXlOeW9rRUpIRDF5dEVJeTlDaTZnQ0txVEJjMk8zcg==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4578</Words>
  <Characters>26100</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cairo</dc:creator>
  <cp:lastModifiedBy>User</cp:lastModifiedBy>
  <cp:revision>2</cp:revision>
  <cp:lastPrinted>2026-06-15T07:18:00Z</cp:lastPrinted>
  <dcterms:created xsi:type="dcterms:W3CDTF">2026-06-15T07:18:00Z</dcterms:created>
  <dcterms:modified xsi:type="dcterms:W3CDTF">2026-06-15T07:18:00Z</dcterms:modified>
</cp:coreProperties>
</file>